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76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z w:val="28"/>
          <w:szCs w:val="28"/>
        </w:rPr>
        <w:tab/>
      </w:r>
      <w:r>
        <w:rPr>
          <w:b/>
          <w:bCs/>
          <w:i w:val="false"/>
          <w:sz w:val="28"/>
          <w:szCs w:val="28"/>
        </w:rPr>
        <w:t xml:space="preserve">Анализ деятельности межведомственной </w:t>
      </w:r>
    </w:p>
    <w:p>
      <w:pPr>
        <w:pStyle w:val="Normal"/>
        <w:widowControl/>
        <w:spacing w:lineRule="auto" w:line="276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i w:val="false"/>
          <w:sz w:val="28"/>
          <w:szCs w:val="28"/>
        </w:rPr>
        <w:t>комиссии по профилактике правонарушений в Белокалитвинском районе за 2016 год.</w:t>
      </w:r>
    </w:p>
    <w:p>
      <w:pPr>
        <w:pStyle w:val="Normal"/>
        <w:widowControl/>
        <w:spacing w:lineRule="auto" w:line="276" w:before="0" w:after="0"/>
        <w:ind w:left="0" w:right="0" w:hanging="0"/>
        <w:jc w:val="center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z w:val="28"/>
          <w:szCs w:val="28"/>
        </w:rPr>
        <w:tab/>
        <w:t>Межведомственная комиссия по профилактике правонарушений в Белокалитвинском районе (далее — межведомственная комиссия) действует на основании Постановления Администрации Белокалитвинского района от 24.03.2014 № 458 «О создании межведомственной комиссии по профилактике правонарушений в Белокалитвинском районе».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z w:val="28"/>
          <w:szCs w:val="28"/>
        </w:rPr>
        <w:tab/>
        <w:t xml:space="preserve">Деятельность межведомственной комиссии в 2016 году была организована с учетом рекомендаций Правительства Ростовской области. </w:t>
      </w:r>
      <w:r>
        <w:rPr>
          <w:rFonts w:cs="Times New Roman"/>
          <w:b w:val="false"/>
          <w:i w:val="false"/>
          <w:sz w:val="28"/>
          <w:szCs w:val="28"/>
        </w:rPr>
        <w:t>Работа межведомственной комиссии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 xml:space="preserve"> была построена в соответствии с «Планом работы межведомственной комиссии по профилактике правонарушений в Белокалитвинском районе» на 2016 год.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i w:val="false"/>
          <w:color w:val="000000"/>
          <w:sz w:val="28"/>
          <w:szCs w:val="28"/>
        </w:rPr>
        <w:tab/>
        <w:t>В 2016 году было проведено 5  заседаний межведомственной комиссии из них 2 — совместно с постоянно действующим координационным совещанием по обеспечению правопорядка в Белокалитвинском районе.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i w:val="false"/>
          <w:color w:val="000000"/>
          <w:sz w:val="28"/>
          <w:szCs w:val="28"/>
        </w:rPr>
        <w:tab/>
      </w:r>
      <w:r>
        <w:rPr>
          <w:rFonts w:cs="Times New Roman"/>
          <w:b w:val="false"/>
          <w:i w:val="false"/>
          <w:color w:val="000000"/>
          <w:sz w:val="28"/>
          <w:szCs w:val="28"/>
          <w:u w:val="single"/>
        </w:rPr>
        <w:t>На первом заседании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 xml:space="preserve"> были рассмотрены: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cs="Times New Roman"/>
          <w:b/>
          <w:b/>
          <w:bCs/>
          <w:i/>
          <w:i/>
          <w:color w:val="000000"/>
        </w:rPr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1.</w:t>
      </w:r>
      <w:r>
        <w:rPr>
          <w:rFonts w:cs="Times New Roman"/>
          <w:b w:val="false"/>
          <w:i w:val="false"/>
          <w:color w:val="000000"/>
          <w:sz w:val="28"/>
          <w:szCs w:val="28"/>
        </w:rPr>
        <w:t xml:space="preserve"> </w:t>
      </w:r>
      <w:r>
        <w:rPr>
          <w:rStyle w:val="1"/>
          <w:b w:val="false"/>
          <w:bCs w:val="false"/>
          <w:i w:val="false"/>
          <w:iCs w:val="false"/>
          <w:sz w:val="28"/>
          <w:szCs w:val="28"/>
        </w:rPr>
        <w:t>Информация Отдела МВД по Белокалитвинскому району о состоянии оперативной обстановки в районе по итогам 2015 г.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2.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Style w:val="1"/>
          <w:b w:val="false"/>
          <w:bCs w:val="false"/>
          <w:i w:val="false"/>
          <w:iCs w:val="false"/>
          <w:sz w:val="28"/>
          <w:szCs w:val="28"/>
        </w:rPr>
        <w:t>Информация УФМС России по Ростовской области в г. Белая Калитва об итогах работы в 2015 году.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b w:val="false"/>
          <w:bCs w:val="false"/>
          <w:i w:val="false"/>
          <w:iCs w:val="false"/>
          <w:sz w:val="28"/>
          <w:szCs w:val="28"/>
        </w:rPr>
        <w:tab/>
      </w:r>
      <w:r>
        <w:rPr>
          <w:rStyle w:val="1"/>
          <w:b w:val="false"/>
          <w:bCs w:val="false"/>
          <w:i w:val="false"/>
          <w:iCs w:val="false"/>
          <w:sz w:val="28"/>
          <w:szCs w:val="28"/>
          <w:u w:val="single"/>
        </w:rPr>
        <w:t>На втором заседании</w:t>
      </w:r>
      <w:r>
        <w:rPr>
          <w:rStyle w:val="1"/>
          <w:b w:val="false"/>
          <w:bCs w:val="false"/>
          <w:i w:val="false"/>
          <w:iCs w:val="false"/>
          <w:sz w:val="28"/>
          <w:szCs w:val="28"/>
        </w:rPr>
        <w:t xml:space="preserve"> были рассмотрены: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b/>
          <w:bCs/>
          <w:i w:val="false"/>
          <w:iCs w:val="false"/>
          <w:sz w:val="28"/>
          <w:szCs w:val="28"/>
        </w:rPr>
        <w:t>1.</w:t>
      </w:r>
      <w:r>
        <w:rPr>
          <w:rStyle w:val="1"/>
          <w:b/>
          <w:bCs/>
          <w:i/>
          <w:iCs/>
          <w:sz w:val="28"/>
          <w:szCs w:val="28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</w:rPr>
        <w:t>О  готовности органов внутренних дел к обеспечению общественной безопасности в период проведения праздничных мероприятий, посвященных Дню России.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/>
          <w:iCs/>
          <w:sz w:val="28"/>
          <w:szCs w:val="28"/>
          <w:u w:val="none"/>
        </w:rPr>
        <w:t xml:space="preserve">2.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О ходе подготовки к проведению летнего курортного сезона, в том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числе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детской оздоровительной компании 2016г.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 w:val="false"/>
          <w:iCs w:val="false"/>
          <w:sz w:val="28"/>
          <w:szCs w:val="28"/>
          <w:u w:val="none"/>
          <w:shd w:fill="FFFFFF" w:val="clear"/>
        </w:rPr>
        <w:t>3.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 xml:space="preserve"> О комплексе мер по усилению противопожарных мероприятий, в том числе в рамках детской оздоровительной компании 2016г.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 w:val="false"/>
          <w:iCs w:val="false"/>
          <w:sz w:val="28"/>
          <w:szCs w:val="28"/>
          <w:u w:val="none"/>
          <w:shd w:fill="FFFFFF" w:val="clear"/>
        </w:rPr>
        <w:t>4.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 xml:space="preserve"> О ресоциализации лиц, освободившихся из учреждений, исполняющих наказание, в том числе об организации межведомственного взаимодействия по их трудоустройству, а также трудоустройству лиц, осужденных к наказаниям не связанным с лишением свободы.</w:t>
      </w:r>
    </w:p>
    <w:p>
      <w:pPr>
        <w:pStyle w:val="Style16"/>
        <w:widowControl/>
        <w:numPr>
          <w:ilvl w:val="0"/>
          <w:numId w:val="1"/>
        </w:numPr>
        <w:spacing w:lineRule="auto" w:line="276" w:before="0" w:after="0"/>
        <w:ind w:left="72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single"/>
          <w:lang w:eastAsia="ru-RU"/>
        </w:rPr>
        <w:t>На третьем заседании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color w:val="000000"/>
          <w:sz w:val="28"/>
          <w:szCs w:val="28"/>
        </w:rPr>
        <w:t>1.</w:t>
      </w: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 </w:t>
      </w:r>
      <w:r>
        <w:rPr>
          <w:rStyle w:val="1"/>
          <w:b w:val="false"/>
          <w:bCs w:val="false"/>
          <w:sz w:val="28"/>
          <w:szCs w:val="28"/>
        </w:rPr>
        <w:t>Информация о проведенных мероприятиях с</w:t>
        <w:br/>
        <w:t>несовершеннолетними состоящими на учете в правоохранительных органах, в каникулярное время, в том числе о мероприятиях по временному трудоустройству несовершеннолетних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2.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Об эффективности взаимодействия филиала по Белокалитвинскому району ФКУ УИИ УФСИН России по  с отделом МВД России по Белокалитвинскому району по профилактике правонарушений, среди осужденных к наказаниям, не связанным с лишением свободы.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3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.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 деятельности правоохранительных органов в сфере контроля и надзора за соблюдением мер, направленных на предупреждение причинения вреда здоровью детей, их физическому, интеллектуальному, психическому, духовному и нравственному развитию.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4.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/>
          <w:i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О проведенной работе по внедрению аппаратно-программного комплекса «Безопасный город» на территории Белокалитвинского городского поселения.</w:t>
      </w:r>
    </w:p>
    <w:p>
      <w:pPr>
        <w:pStyle w:val="Normal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О ходе реализации муниципальной  программы Белокалитвинского района «Обеспечение общественного порядка и противодействие преступности» за  2015 -  2016 годы.</w:t>
      </w:r>
    </w:p>
    <w:p>
      <w:pPr>
        <w:pStyle w:val="Style16"/>
        <w:widowControl/>
        <w:numPr>
          <w:ilvl w:val="0"/>
          <w:numId w:val="2"/>
        </w:numPr>
        <w:spacing w:lineRule="auto" w:line="276" w:before="0" w:after="0"/>
        <w:ind w:left="72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u w:val="single"/>
          <w:lang w:eastAsia="ru-RU"/>
        </w:rPr>
        <w:t>На четвертом заседании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lang w:eastAsia="ru-RU"/>
        </w:rPr>
        <w:t xml:space="preserve"> координационного совещания были рассмотрены следующие вопросы: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   Использование народных и казачьих дружин и их взаимодействие с правоохранительными органами при обеспечении общественной безопасности.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 xml:space="preserve"> 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lang w:eastAsia="ru-RU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rStyle w:val="1"/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6.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ab/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single"/>
          <w:shd w:fill="FFFFFF" w:val="clear"/>
        </w:rPr>
        <w:t>На пятом заседании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 xml:space="preserve"> были рассмотрены: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 w:val="false"/>
          <w:iCs w:val="false"/>
          <w:sz w:val="28"/>
          <w:szCs w:val="28"/>
          <w:u w:val="none"/>
          <w:shd w:fill="FFFFFF" w:val="clear"/>
        </w:rPr>
        <w:t>1.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 xml:space="preserve"> Информация Отдела МВД по Белокалитвинскому району о состоянии оперативной обстановки в районе в 2016 г.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2.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Расширение правоохранительного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сегмента в создаваемом аппарано-програмном комплексе «Безопасный город»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за счет установки в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общественных местах соответствующих современным техническим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</w:t>
      </w:r>
      <w:r>
        <w:rPr>
          <w:rStyle w:val="1"/>
          <w:rFonts w:cs="Times New Roman"/>
          <w:b w:val="false"/>
          <w:bCs w:val="false"/>
          <w:i w:val="false"/>
          <w:iCs w:val="false"/>
          <w:sz w:val="28"/>
          <w:szCs w:val="28"/>
          <w:u w:val="none"/>
          <w:shd w:fill="FFFFFF" w:val="clear"/>
        </w:rPr>
        <w:t>требованиям системам</w:t>
      </w:r>
      <w:r>
        <w:rPr>
          <w:rStyle w:val="1"/>
          <w:rFonts w:cs="Times New Roman"/>
          <w:b/>
          <w:bCs/>
          <w:i/>
          <w:iCs/>
          <w:sz w:val="28"/>
          <w:szCs w:val="28"/>
          <w:u w:val="none"/>
          <w:shd w:fill="FFFFFF" w:val="clear"/>
        </w:rPr>
        <w:t xml:space="preserve"> контроля</w:t>
      </w:r>
      <w:r>
        <w:rPr>
          <w:rStyle w:val="1"/>
          <w:rFonts w:cs="Times New Roman"/>
          <w:b/>
          <w:bCs/>
          <w:i/>
          <w:iCs/>
          <w:color w:val="000000"/>
          <w:sz w:val="28"/>
          <w:szCs w:val="28"/>
          <w:u w:val="none"/>
          <w:shd w:fill="FFFFFF" w:val="clear"/>
        </w:rPr>
        <w:t>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/>
          <w:iCs/>
          <w:color w:val="000000"/>
          <w:sz w:val="28"/>
          <w:szCs w:val="28"/>
          <w:u w:val="none"/>
          <w:shd w:fill="FFFFFF" w:val="clear"/>
        </w:rPr>
        <w:t xml:space="preserve">3. </w:t>
      </w:r>
      <w:r>
        <w:rPr>
          <w:rStyle w:val="1"/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>О состоянии подростковой преступности на территории Белокалитвинского района.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cs="Times New Roman"/>
          <w:b/>
          <w:bCs/>
          <w:i/>
          <w:iCs/>
          <w:color w:val="000000"/>
          <w:sz w:val="28"/>
          <w:szCs w:val="28"/>
          <w:u w:val="none"/>
          <w:shd w:fill="FFFFFF" w:val="clear"/>
        </w:rPr>
        <w:t xml:space="preserve">4.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>Создание надлежащих условий для функционирования народных дружин за счет выстаивания эффективной схемы взаимодействия между органами самоуправления, полицией, общественными организациями правоохранительной направленности, установлению льгот дружинникам.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eastAsia="Times New Roman" w:cs="Times New Roman"/>
          <w:b/>
          <w:bCs/>
          <w:i/>
          <w:iCs/>
          <w:color w:val="000000"/>
          <w:sz w:val="28"/>
          <w:szCs w:val="28"/>
          <w:u w:val="none"/>
          <w:shd w:fill="FFFFFF" w:val="clear"/>
        </w:rPr>
        <w:t xml:space="preserve">5. </w:t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>Утверждение плана работы комиссии по профилактике правонарушений в Белокалитвинском районе на 2017г.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b/>
          <w:bCs/>
          <w:sz w:val="28"/>
          <w:szCs w:val="28"/>
        </w:rPr>
        <w:tab/>
      </w: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По всем заседаниям оформлены протоколы подписанные председателем и секретарем координационного совещания. В решениях заседаний все мероприятия адресованы конкретным исполнителям и имеют установленные сроки исполнения, либо условия информирования о результатах исполнения.</w:t>
      </w:r>
    </w:p>
    <w:p>
      <w:pPr>
        <w:pStyle w:val="Style16"/>
        <w:widowControl/>
        <w:spacing w:lineRule="auto" w:line="276" w:before="0" w:after="0"/>
        <w:ind w:left="0" w:right="0" w:hanging="0"/>
        <w:jc w:val="both"/>
        <w:rPr>
          <w:sz w:val="28"/>
          <w:szCs w:val="28"/>
        </w:rPr>
      </w:pP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  <w:t>Ведутся наблюдательные дела как по решениям межведомственной комиссии по профилактике правонарушений в Белокалитвинском районе, так и по решениям межведомственной комиссии по профилактике правонарушений Ростовской области.</w:t>
      </w:r>
    </w:p>
    <w:p>
      <w:pPr>
        <w:pStyle w:val="Normal"/>
        <w:widowControl w:val="false"/>
        <w:tabs>
          <w:tab w:val="left" w:pos="960" w:leader="none"/>
        </w:tabs>
        <w:suppressAutoHyphens w:val="true"/>
        <w:bidi w:val="0"/>
        <w:spacing w:lineRule="auto" w:line="288" w:before="0" w:after="0"/>
        <w:ind w:left="0" w:right="0" w:hanging="0"/>
        <w:jc w:val="both"/>
        <w:rPr/>
      </w:pPr>
      <w:r>
        <w:rPr>
          <w:rStyle w:val="1"/>
          <w:rFonts w:eastAsia="Times New Roman" w:cs="Times New Roman"/>
          <w:b w:val="false"/>
          <w:bCs w:val="false"/>
          <w:i w:val="false"/>
          <w:iC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ab/>
        <w:t xml:space="preserve">На сегодняшний день, вся информация о деятельности межведомственной комиссии, планы, протоколы заседаний регулярно размещаются на официальном сайте Администрации Белокалитвинского района в разделе комиссии «Межведомственная комиссия по профилактике правонарушений». </w:t>
      </w:r>
    </w:p>
    <w:sectPr>
      <w:type w:val="nextPage"/>
      <w:pgSz w:w="11906" w:h="16838"/>
      <w:pgMar w:left="1134" w:right="512" w:header="0" w:top="1134" w:footer="0" w:bottom="67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b w:val="fals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b w:val="false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  <w:b w:val="false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b w:val="false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b w:val="false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8"/>
        <w:b w:val="false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b w:val="false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8"/>
        <w:b w:val="false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b w:val="false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b w:val="fals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b w:val="false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  <w:b w:val="false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8"/>
        <w:b w:val="false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b w:val="false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8"/>
        <w:b w:val="false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b w:val="false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8"/>
        <w:b w:val="false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b w:val="false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Основной текст_"/>
    <w:basedOn w:val="DefaultParagraphFont"/>
    <w:qFormat/>
    <w:rPr>
      <w:rFonts w:ascii="Times New Roman" w:hAnsi="Times New Roman" w:eastAsia="Times New Roman" w:cs="Times New Roman"/>
      <w:spacing w:val="10"/>
      <w:shd w:fill="FFFFFF" w:val="clear"/>
    </w:rPr>
  </w:style>
  <w:style w:type="character" w:styleId="1">
    <w:name w:val="Основной текст1"/>
    <w:basedOn w:val="Style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w w:val="100"/>
      <w:sz w:val="24"/>
      <w:szCs w:val="24"/>
      <w:u w:val="none"/>
      <w:lang w:val="ru-RU"/>
    </w:rPr>
  </w:style>
  <w:style w:type="character" w:styleId="ListLabel1">
    <w:name w:val="ListLabel 1"/>
    <w:qFormat/>
    <w:rPr>
      <w:rFonts w:ascii="Times New Roman" w:hAnsi="Times New Roman" w:cs="Wingdings"/>
      <w:b w:val="false"/>
      <w:sz w:val="2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7062</TotalTime>
  <Application>LibreOffice/4.4.1.2$Linux_x86 LibreOffice_project/40m0$Build-2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2017-03-13T12:37:59Z</dcterms:created>
  <dc:creator>vga  </dc:creator>
  <dc:language>ru-RU</dc:language>
  <cp:lastModifiedBy>vga  </cp:lastModifiedBy>
  <dcterms:modified xsi:type="dcterms:W3CDTF">2017-04-26T14:38:27Z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