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widowControl/>
        <w:spacing w:lineRule="atLeast" w:line="225" w:before="0" w:after="0"/>
        <w:ind w:left="0" w:right="0" w:hanging="0"/>
        <w:jc w:val="center"/>
        <w:rPr>
          <w:rFonts w:ascii="Arial;Helvetica;sans-serif" w:hAnsi="Arial;Helvetica;sans-serif"/>
          <w:b/>
          <w:b/>
          <w:i w:val="false"/>
          <w:i w:val="false"/>
          <w:caps w:val="false"/>
          <w:smallCaps w:val="false"/>
          <w:color w:val="333333"/>
          <w:spacing w:val="0"/>
          <w:sz w:val="36"/>
        </w:rPr>
      </w:pPr>
      <w:r>
        <w:rPr>
          <w:rFonts w:ascii="Arial;Helvetica;sans-serif" w:hAnsi="Arial;Helvetica;sans-serif"/>
          <w:b/>
          <w:i w:val="false"/>
          <w:caps w:val="false"/>
          <w:smallCaps w:val="false"/>
          <w:color w:val="333333"/>
          <w:spacing w:val="0"/>
          <w:sz w:val="36"/>
        </w:rPr>
        <w:t>Перечень объектов</w:t>
      </w:r>
    </w:p>
    <w:p>
      <w:pPr>
        <w:pStyle w:val="Style15"/>
        <w:widowControl/>
        <w:spacing w:lineRule="atLeast" w:line="225" w:before="0" w:after="0"/>
        <w:ind w:left="0" w:right="0" w:hanging="0"/>
        <w:jc w:val="center"/>
        <w:rPr>
          <w:rFonts w:ascii="Arial;Helvetica;sans-serif" w:hAnsi="Arial;Helvetica;sans-serif"/>
          <w:b/>
          <w:b/>
          <w:i w:val="false"/>
          <w:i w:val="false"/>
          <w:caps w:val="false"/>
          <w:smallCaps w:val="false"/>
          <w:color w:val="333333"/>
          <w:spacing w:val="0"/>
          <w:sz w:val="36"/>
        </w:rPr>
      </w:pPr>
      <w:r>
        <w:rPr>
          <w:rFonts w:ascii="Arial;Helvetica;sans-serif" w:hAnsi="Arial;Helvetica;sans-serif"/>
          <w:b/>
          <w:i w:val="false"/>
          <w:caps w:val="false"/>
          <w:smallCaps w:val="false"/>
          <w:color w:val="333333"/>
          <w:spacing w:val="0"/>
          <w:sz w:val="36"/>
        </w:rPr>
        <w:t xml:space="preserve">по капитальному ремонту, включая разработку проектно-сметной документации, межпоселковых, внутригородских, внутрипоселковых автомобильных дорог и тротуаров Белокалитвинского района Ростовской области финансируемых за счет </w:t>
      </w:r>
      <w:r>
        <w:rPr>
          <w:rFonts w:eastAsia="Times New Roman" w:cs="Times New Roman" w:ascii="Arial;Helvetica;sans-serif" w:hAnsi="Arial;Helvetica;sans-serif"/>
          <w:b/>
          <w:bCs/>
          <w:i w:val="false"/>
          <w:caps w:val="false"/>
          <w:smallCaps w:val="false"/>
          <w:color w:val="333333"/>
          <w:spacing w:val="0"/>
          <w:sz w:val="36"/>
          <w:szCs w:val="28"/>
          <w:lang w:eastAsia="ru-RU"/>
        </w:rPr>
        <w:t>субсидий</w:t>
      </w:r>
      <w:r>
        <w:rPr>
          <w:rFonts w:ascii="Arial;Helvetica;sans-serif" w:hAnsi="Arial;Helvetica;sans-serif"/>
          <w:b/>
          <w:i w:val="false"/>
          <w:caps w:val="false"/>
          <w:smallCaps w:val="false"/>
          <w:color w:val="333333"/>
          <w:spacing w:val="0"/>
          <w:sz w:val="36"/>
        </w:rPr>
        <w:t xml:space="preserve"> в 2016 году</w:t>
      </w:r>
    </w:p>
    <w:p>
      <w:pPr>
        <w:pStyle w:val="Normal"/>
        <w:rPr/>
      </w:pPr>
      <w:r>
        <w:rPr/>
      </w:r>
    </w:p>
    <w:tbl>
      <w:tblPr>
        <w:tblW w:w="14790" w:type="dxa"/>
        <w:jc w:val="left"/>
        <w:tblInd w:w="72" w:type="dxa"/>
        <w:tblBorders>
          <w:top w:val="single" w:sz="2" w:space="0" w:color="C6CCCF"/>
          <w:left w:val="single" w:sz="2" w:space="0" w:color="C6CCCF"/>
          <w:bottom w:val="single" w:sz="2" w:space="0" w:color="C6CCCF"/>
          <w:right w:val="single" w:sz="2" w:space="0" w:color="C6CCCF"/>
          <w:insideH w:val="single" w:sz="2" w:space="0" w:color="C6CCCF"/>
          <w:insideV w:val="single" w:sz="2" w:space="0" w:color="C6CCCF"/>
        </w:tblBorders>
        <w:tblCellMar>
          <w:top w:w="150" w:type="dxa"/>
          <w:left w:w="71" w:type="dxa"/>
          <w:bottom w:w="150" w:type="dxa"/>
          <w:right w:w="75" w:type="dxa"/>
        </w:tblCellMar>
      </w:tblPr>
      <w:tblGrid>
        <w:gridCol w:w="346"/>
        <w:gridCol w:w="2144"/>
        <w:gridCol w:w="1590"/>
        <w:gridCol w:w="1667"/>
        <w:gridCol w:w="1186"/>
        <w:gridCol w:w="1066"/>
        <w:gridCol w:w="1280"/>
        <w:gridCol w:w="2227"/>
        <w:gridCol w:w="2040"/>
        <w:gridCol w:w="1242"/>
      </w:tblGrid>
      <w:tr>
        <w:trPr/>
        <w:tc>
          <w:tcPr>
            <w:tcW w:w="346" w:type="dxa"/>
            <w:vMerge w:val="restart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/>
            </w:pPr>
            <w:r>
              <w:rPr/>
              <w:t>№</w:t>
            </w:r>
          </w:p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п/п</w:t>
            </w:r>
          </w:p>
        </w:tc>
        <w:tc>
          <w:tcPr>
            <w:tcW w:w="2144" w:type="dxa"/>
            <w:vMerge w:val="restart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Наименование объекта</w:t>
            </w:r>
          </w:p>
        </w:tc>
        <w:tc>
          <w:tcPr>
            <w:tcW w:w="1590" w:type="dxa"/>
            <w:vMerge w:val="restart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Вид работ</w:t>
            </w:r>
          </w:p>
        </w:tc>
        <w:tc>
          <w:tcPr>
            <w:tcW w:w="1667" w:type="dxa"/>
            <w:vMerge w:val="restart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Объем</w:t>
            </w:r>
          </w:p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финансирования, всего (руб.)</w:t>
            </w:r>
          </w:p>
        </w:tc>
        <w:tc>
          <w:tcPr>
            <w:tcW w:w="2252" w:type="dxa"/>
            <w:gridSpan w:val="2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В том числе,</w:t>
            </w:r>
          </w:p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(руб.)</w:t>
            </w:r>
          </w:p>
        </w:tc>
        <w:tc>
          <w:tcPr>
            <w:tcW w:w="1280" w:type="dxa"/>
            <w:vMerge w:val="restart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% долевого участия местного бюджета</w:t>
            </w:r>
          </w:p>
        </w:tc>
        <w:tc>
          <w:tcPr>
            <w:tcW w:w="2227" w:type="dxa"/>
            <w:vMerge w:val="restart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Заказчик</w:t>
            </w:r>
          </w:p>
        </w:tc>
        <w:tc>
          <w:tcPr>
            <w:tcW w:w="2040" w:type="dxa"/>
            <w:vMerge w:val="restart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Ф.И.О.,должностных лиц, подписывающих акты о приемке</w:t>
            </w:r>
          </w:p>
        </w:tc>
        <w:tc>
          <w:tcPr>
            <w:tcW w:w="1242" w:type="dxa"/>
            <w:vMerge w:val="restart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Лицо, осуществляющее технический надзор</w:t>
            </w:r>
          </w:p>
        </w:tc>
      </w:tr>
      <w:tr>
        <w:trPr/>
        <w:tc>
          <w:tcPr>
            <w:tcW w:w="346" w:type="dxa"/>
            <w:vMerge w:val="continue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44" w:type="dxa"/>
            <w:vMerge w:val="continue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0" w:type="dxa"/>
            <w:vMerge w:val="continue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67" w:type="dxa"/>
            <w:vMerge w:val="continue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86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F2FAFE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15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F2FAFE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15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Местный бюджет</w:t>
            </w:r>
          </w:p>
        </w:tc>
        <w:tc>
          <w:tcPr>
            <w:tcW w:w="1280" w:type="dxa"/>
            <w:vMerge w:val="continue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27" w:type="dxa"/>
            <w:vMerge w:val="continue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40" w:type="dxa"/>
            <w:vMerge w:val="continue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42" w:type="dxa"/>
            <w:vMerge w:val="continue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46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15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1</w:t>
            </w:r>
          </w:p>
        </w:tc>
        <w:tc>
          <w:tcPr>
            <w:tcW w:w="2144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15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2</w:t>
            </w:r>
          </w:p>
        </w:tc>
        <w:tc>
          <w:tcPr>
            <w:tcW w:w="1590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15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3</w:t>
            </w:r>
          </w:p>
        </w:tc>
        <w:tc>
          <w:tcPr>
            <w:tcW w:w="1667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15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4</w:t>
            </w:r>
          </w:p>
        </w:tc>
        <w:tc>
          <w:tcPr>
            <w:tcW w:w="1186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15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5</w:t>
            </w:r>
          </w:p>
        </w:tc>
        <w:tc>
          <w:tcPr>
            <w:tcW w:w="1066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15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6</w:t>
            </w:r>
          </w:p>
        </w:tc>
        <w:tc>
          <w:tcPr>
            <w:tcW w:w="1280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15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7</w:t>
            </w:r>
          </w:p>
        </w:tc>
        <w:tc>
          <w:tcPr>
            <w:tcW w:w="2227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15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8</w:t>
            </w:r>
          </w:p>
        </w:tc>
        <w:tc>
          <w:tcPr>
            <w:tcW w:w="2040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15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9</w:t>
            </w:r>
          </w:p>
        </w:tc>
        <w:tc>
          <w:tcPr>
            <w:tcW w:w="1242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ind w:left="0" w:right="0" w:hanging="0"/>
              <w:rPr/>
            </w:pPr>
            <w:r>
              <w:rPr/>
            </w:r>
          </w:p>
        </w:tc>
      </w:tr>
      <w:tr>
        <w:trPr>
          <w:trHeight w:val="1086" w:hRule="atLeast"/>
        </w:trPr>
        <w:tc>
          <w:tcPr>
            <w:tcW w:w="346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F2FAFE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1.</w:t>
            </w:r>
          </w:p>
        </w:tc>
        <w:tc>
          <w:tcPr>
            <w:tcW w:w="2144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F2FAFE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rPr>
                <w:b w:val="false"/>
                <w:b w:val="false"/>
              </w:rPr>
            </w:pPr>
            <w:r>
              <w:rPr>
                <w:b w:val="false"/>
              </w:rPr>
              <w:t>Межпоселковые автомобильные дороги:</w:t>
            </w:r>
          </w:p>
        </w:tc>
        <w:tc>
          <w:tcPr>
            <w:tcW w:w="1590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F2FAFE" w:val="clear"/>
            <w:tcMar>
              <w:left w:w="71" w:type="dxa"/>
            </w:tcMar>
            <w:vAlign w:val="center"/>
          </w:tcPr>
          <w:p>
            <w:pPr>
              <w:pStyle w:val="Style19"/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1667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F2FAFE" w:val="clear"/>
            <w:tcMar>
              <w:left w:w="71" w:type="dxa"/>
            </w:tcMar>
            <w:vAlign w:val="center"/>
          </w:tcPr>
          <w:p>
            <w:pPr>
              <w:pStyle w:val="Style19"/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1186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F2FAFE" w:val="clear"/>
            <w:tcMar>
              <w:left w:w="71" w:type="dxa"/>
            </w:tcMar>
            <w:vAlign w:val="center"/>
          </w:tcPr>
          <w:p>
            <w:pPr>
              <w:pStyle w:val="Style19"/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1066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F2FAFE" w:val="clear"/>
            <w:tcMar>
              <w:left w:w="71" w:type="dxa"/>
            </w:tcMar>
            <w:vAlign w:val="center"/>
          </w:tcPr>
          <w:p>
            <w:pPr>
              <w:pStyle w:val="Style19"/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1280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F2FAFE" w:val="clear"/>
            <w:tcMar>
              <w:left w:w="71" w:type="dxa"/>
            </w:tcMar>
            <w:vAlign w:val="center"/>
          </w:tcPr>
          <w:p>
            <w:pPr>
              <w:pStyle w:val="Style19"/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2227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F2FAFE" w:val="clear"/>
            <w:tcMar>
              <w:left w:w="71" w:type="dxa"/>
            </w:tcMar>
            <w:vAlign w:val="center"/>
          </w:tcPr>
          <w:p>
            <w:pPr>
              <w:pStyle w:val="Style19"/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2040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F2FAFE" w:val="clear"/>
            <w:tcMar>
              <w:left w:w="71" w:type="dxa"/>
            </w:tcMar>
            <w:vAlign w:val="center"/>
          </w:tcPr>
          <w:p>
            <w:pPr>
              <w:pStyle w:val="Style19"/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1242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F2FAFE" w:val="clear"/>
            <w:tcMar>
              <w:left w:w="71" w:type="dxa"/>
            </w:tcMar>
            <w:vAlign w:val="center"/>
          </w:tcPr>
          <w:p>
            <w:pPr>
              <w:pStyle w:val="Style19"/>
              <w:spacing w:before="0" w:after="0"/>
              <w:ind w:left="0" w:right="0" w:hanging="0"/>
              <w:rPr/>
            </w:pPr>
            <w:r>
              <w:rPr/>
            </w:r>
          </w:p>
        </w:tc>
      </w:tr>
      <w:tr>
        <w:trPr>
          <w:trHeight w:val="1517" w:hRule="atLeast"/>
        </w:trPr>
        <w:tc>
          <w:tcPr>
            <w:tcW w:w="346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2144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Normal"/>
              <w:tabs>
                <w:tab w:val="left" w:pos="3300" w:leader="none"/>
              </w:tabs>
              <w:spacing w:lineRule="atLeast" w:line="225" w:before="0" w:after="0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rFonts w:eastAsia="Calibri" w:cs="Times New Roman"/>
                <w:b w:val="false"/>
                <w:color w:val="00000A"/>
                <w:sz w:val="22"/>
                <w:szCs w:val="22"/>
                <w:lang w:val="ru-RU" w:bidi="ar-SA"/>
              </w:rPr>
              <w:t>Капитальный</w:t>
            </w:r>
            <w:r>
              <w:rPr>
                <w:rFonts w:eastAsia="Calibri" w:cs="Times New Roman"/>
                <w:b w:val="false"/>
                <w:color w:val="00000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Calibri" w:cs="Times New Roman"/>
                <w:b w:val="false"/>
                <w:color w:val="00000A"/>
                <w:sz w:val="22"/>
                <w:szCs w:val="22"/>
                <w:lang w:val="ru-RU" w:eastAsia="ru-RU" w:bidi="ar-SA"/>
              </w:rPr>
              <w:t xml:space="preserve">ремонт межпоселковой а/д «х. Голубинка – </w:t>
            </w:r>
            <w:r>
              <w:rPr>
                <w:rFonts w:eastAsia="Calibri" w:cs="Times New Roman"/>
                <w:b w:val="false"/>
                <w:bCs w:val="false"/>
                <w:color w:val="00000A"/>
                <w:sz w:val="22"/>
                <w:szCs w:val="22"/>
                <w:lang w:val="ru-RU" w:eastAsia="ru-RU" w:bidi="ar-SA"/>
              </w:rPr>
              <w:t>х. Казьминка»</w:t>
            </w:r>
          </w:p>
        </w:tc>
        <w:tc>
          <w:tcPr>
            <w:tcW w:w="1590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Капитальный ремонт</w:t>
            </w:r>
          </w:p>
        </w:tc>
        <w:tc>
          <w:tcPr>
            <w:tcW w:w="1667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18 637 200</w:t>
            </w:r>
          </w:p>
        </w:tc>
        <w:tc>
          <w:tcPr>
            <w:tcW w:w="1186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17 519 000</w:t>
            </w:r>
          </w:p>
        </w:tc>
        <w:tc>
          <w:tcPr>
            <w:tcW w:w="1066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1 118 200</w:t>
            </w:r>
          </w:p>
        </w:tc>
        <w:tc>
          <w:tcPr>
            <w:tcW w:w="1280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6</w:t>
            </w:r>
          </w:p>
        </w:tc>
        <w:tc>
          <w:tcPr>
            <w:tcW w:w="2227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Администрация Белокалитвинского района</w:t>
            </w:r>
          </w:p>
        </w:tc>
        <w:tc>
          <w:tcPr>
            <w:tcW w:w="2040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Должников А. В.</w:t>
            </w:r>
          </w:p>
        </w:tc>
        <w:tc>
          <w:tcPr>
            <w:tcW w:w="1242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before="0" w:after="0"/>
              <w:ind w:left="0" w:right="0" w:hanging="0"/>
              <w:rPr/>
            </w:pPr>
            <w:r>
              <w:rPr/>
            </w:r>
          </w:p>
        </w:tc>
      </w:tr>
      <w:tr>
        <w:trPr>
          <w:trHeight w:val="1517" w:hRule="atLeast"/>
        </w:trPr>
        <w:tc>
          <w:tcPr>
            <w:tcW w:w="346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2144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Normal"/>
              <w:tabs>
                <w:tab w:val="left" w:pos="10905" w:leader="none"/>
              </w:tabs>
              <w:ind w:left="0" w:right="0" w:hanging="0"/>
              <w:jc w:val="both"/>
              <w:rPr/>
            </w:pPr>
            <w:r>
              <w:rPr>
                <w:sz w:val="22"/>
                <w:szCs w:val="22"/>
              </w:rPr>
              <w:t xml:space="preserve">Капитальный ремонт автомобильной дороги «Подъезд от автомобильной дороги «пос. Углекаменный – </w:t>
            </w:r>
            <w:r>
              <w:rPr>
                <w:b w:val="false"/>
                <w:sz w:val="22"/>
                <w:szCs w:val="22"/>
              </w:rPr>
              <w:t xml:space="preserve">                                                      х. Западный» к пос. Боярышниковый» </w:t>
            </w:r>
          </w:p>
        </w:tc>
        <w:tc>
          <w:tcPr>
            <w:tcW w:w="1590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Капитальный ремонт</w:t>
            </w:r>
          </w:p>
        </w:tc>
        <w:tc>
          <w:tcPr>
            <w:tcW w:w="1667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Normal"/>
              <w:tabs>
                <w:tab w:val="left" w:pos="497" w:leader="none"/>
              </w:tabs>
              <w:spacing w:lineRule="atLeast" w:line="225" w:before="0" w:after="0"/>
              <w:ind w:left="0" w:right="0" w:hanging="0"/>
              <w:contextualSpacing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 w:val="false"/>
                <w:bCs/>
                <w:color w:val="000000"/>
                <w:sz w:val="24"/>
                <w:szCs w:val="24"/>
              </w:rPr>
              <w:t>10 637 864</w:t>
            </w:r>
          </w:p>
        </w:tc>
        <w:tc>
          <w:tcPr>
            <w:tcW w:w="1186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-</w:t>
            </w:r>
          </w:p>
        </w:tc>
        <w:tc>
          <w:tcPr>
            <w:tcW w:w="1066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Normal"/>
              <w:tabs>
                <w:tab w:val="left" w:pos="497" w:leader="none"/>
              </w:tabs>
              <w:spacing w:lineRule="atLeast" w:line="225" w:before="0" w:after="0"/>
              <w:ind w:left="0" w:right="0" w:hanging="0"/>
              <w:contextualSpacing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 w:val="false"/>
                <w:bCs/>
                <w:color w:val="000000"/>
                <w:sz w:val="24"/>
                <w:szCs w:val="24"/>
              </w:rPr>
              <w:t>10 637 864</w:t>
            </w:r>
          </w:p>
        </w:tc>
        <w:tc>
          <w:tcPr>
            <w:tcW w:w="1280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227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Администрация Белокалитвинского района</w:t>
            </w:r>
          </w:p>
        </w:tc>
        <w:tc>
          <w:tcPr>
            <w:tcW w:w="2040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Должников А. В.</w:t>
            </w:r>
          </w:p>
        </w:tc>
        <w:tc>
          <w:tcPr>
            <w:tcW w:w="1242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before="0" w:after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346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F2FAFE" w:val="clear"/>
            <w:tcMar>
              <w:left w:w="71" w:type="dxa"/>
            </w:tcMar>
            <w:vAlign w:val="center"/>
          </w:tcPr>
          <w:p>
            <w:pPr>
              <w:pStyle w:val="Style19"/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2144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F2FAFE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rPr>
                <w:b w:val="false"/>
                <w:b w:val="false"/>
              </w:rPr>
            </w:pPr>
            <w:r>
              <w:rPr>
                <w:b w:val="false"/>
              </w:rPr>
              <w:t>Итого по межпоселковым автомобильным дорогам</w:t>
            </w:r>
          </w:p>
        </w:tc>
        <w:tc>
          <w:tcPr>
            <w:tcW w:w="1590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F2FAFE" w:val="clear"/>
            <w:tcMar>
              <w:left w:w="71" w:type="dxa"/>
            </w:tcMar>
            <w:vAlign w:val="center"/>
          </w:tcPr>
          <w:p>
            <w:pPr>
              <w:pStyle w:val="Style19"/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1667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F2FAFE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29 275 064</w:t>
            </w:r>
          </w:p>
        </w:tc>
        <w:tc>
          <w:tcPr>
            <w:tcW w:w="1186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F2FAFE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17 519 000</w:t>
            </w:r>
          </w:p>
        </w:tc>
        <w:tc>
          <w:tcPr>
            <w:tcW w:w="1066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F2FAFE" w:val="clear"/>
            <w:tcMar>
              <w:left w:w="71" w:type="dxa"/>
            </w:tcMar>
            <w:vAlign w:val="center"/>
          </w:tcPr>
          <w:p>
            <w:pPr>
              <w:pStyle w:val="Normal"/>
              <w:tabs>
                <w:tab w:val="left" w:pos="497" w:leader="none"/>
              </w:tabs>
              <w:spacing w:lineRule="atLeast" w:line="225" w:before="0" w:after="0"/>
              <w:ind w:left="0" w:right="0" w:hanging="0"/>
              <w:contextualSpacing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 w:val="false"/>
                <w:bCs/>
                <w:color w:val="000000"/>
                <w:sz w:val="24"/>
                <w:szCs w:val="24"/>
              </w:rPr>
              <w:t>10 637 864</w:t>
            </w:r>
          </w:p>
        </w:tc>
        <w:tc>
          <w:tcPr>
            <w:tcW w:w="1280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F2FAFE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227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F2FAFE" w:val="clear"/>
            <w:tcMar>
              <w:left w:w="71" w:type="dxa"/>
            </w:tcMar>
            <w:vAlign w:val="center"/>
          </w:tcPr>
          <w:p>
            <w:pPr>
              <w:pStyle w:val="Style19"/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2040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F2FAFE" w:val="clear"/>
            <w:tcMar>
              <w:left w:w="71" w:type="dxa"/>
            </w:tcMar>
            <w:vAlign w:val="center"/>
          </w:tcPr>
          <w:p>
            <w:pPr>
              <w:pStyle w:val="Style19"/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1242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F2FAFE" w:val="clear"/>
            <w:tcMar>
              <w:left w:w="71" w:type="dxa"/>
            </w:tcMar>
            <w:vAlign w:val="center"/>
          </w:tcPr>
          <w:p>
            <w:pPr>
              <w:pStyle w:val="Style19"/>
              <w:spacing w:before="0" w:after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346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2.</w:t>
            </w:r>
          </w:p>
        </w:tc>
        <w:tc>
          <w:tcPr>
            <w:tcW w:w="2144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rPr>
                <w:b w:val="false"/>
                <w:b w:val="false"/>
              </w:rPr>
            </w:pPr>
            <w:r>
              <w:rPr>
                <w:b w:val="false"/>
              </w:rPr>
              <w:t>Внутригородские, внутрипоселковые автомобильные дороги и тротуары:</w:t>
            </w:r>
          </w:p>
        </w:tc>
        <w:tc>
          <w:tcPr>
            <w:tcW w:w="1590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1667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186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066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280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227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2040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1242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before="0" w:after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346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F2FAFE" w:val="clear"/>
            <w:tcMar>
              <w:left w:w="71" w:type="dxa"/>
            </w:tcMar>
            <w:vAlign w:val="center"/>
          </w:tcPr>
          <w:p>
            <w:pPr>
              <w:pStyle w:val="Style19"/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2144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F2FAFE" w:val="clear"/>
            <w:tcMar>
              <w:left w:w="71" w:type="dxa"/>
            </w:tcMar>
            <w:vAlign w:val="center"/>
          </w:tcPr>
          <w:p>
            <w:pPr>
              <w:pStyle w:val="Normal"/>
              <w:spacing w:lineRule="atLeast" w:line="225" w:before="0" w:after="0"/>
              <w:ind w:left="0" w:right="0" w:hanging="0"/>
              <w:rPr>
                <w:b w:val="false"/>
                <w:b w:val="false"/>
              </w:rPr>
            </w:pPr>
            <w:r>
              <w:rPr>
                <w:b w:val="false"/>
                <w:color w:val="000000"/>
                <w:sz w:val="24"/>
                <w:szCs w:val="24"/>
              </w:rPr>
              <w:t>Капитальный ремонт подъездной дороги по ул. Кирова к МБДОУ ДС «Теремок» в п.Сосны Белокалитвинского района</w:t>
            </w:r>
            <w:r>
              <w:rPr>
                <w:b w:val="false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F2FAFE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Капитальный ремонт</w:t>
            </w:r>
          </w:p>
        </w:tc>
        <w:tc>
          <w:tcPr>
            <w:tcW w:w="1667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F2FAFE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3 449 500</w:t>
            </w:r>
          </w:p>
        </w:tc>
        <w:tc>
          <w:tcPr>
            <w:tcW w:w="1186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F2FAFE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3 242 500</w:t>
            </w:r>
          </w:p>
        </w:tc>
        <w:tc>
          <w:tcPr>
            <w:tcW w:w="1066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F2FAFE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207 000</w:t>
            </w:r>
          </w:p>
        </w:tc>
        <w:tc>
          <w:tcPr>
            <w:tcW w:w="1280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F2FAFE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6</w:t>
            </w:r>
          </w:p>
        </w:tc>
        <w:tc>
          <w:tcPr>
            <w:tcW w:w="2227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F2FAFE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Администрация Нижнепоповского с.п.</w:t>
            </w:r>
          </w:p>
        </w:tc>
        <w:tc>
          <w:tcPr>
            <w:tcW w:w="2040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F2FAFE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Грицыхин В.А.</w:t>
            </w:r>
          </w:p>
        </w:tc>
        <w:tc>
          <w:tcPr>
            <w:tcW w:w="1242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top w:w="28" w:type="dxa"/>
              <w:left w:w="25" w:type="dxa"/>
              <w:bottom w:w="28" w:type="dxa"/>
              <w:right w:w="28" w:type="dxa"/>
            </w:tcMar>
          </w:tcPr>
          <w:p>
            <w:pPr>
              <w:pStyle w:val="Style19"/>
              <w:spacing w:before="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346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F2FAFE" w:val="clear"/>
            <w:tcMar>
              <w:left w:w="71" w:type="dxa"/>
            </w:tcMar>
            <w:vAlign w:val="center"/>
          </w:tcPr>
          <w:p>
            <w:pPr>
              <w:pStyle w:val="Style19"/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2144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F2FAFE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rPr>
                <w:b w:val="false"/>
                <w:b w:val="false"/>
              </w:rPr>
            </w:pPr>
            <w:r>
              <w:rPr>
                <w:b w:val="false"/>
              </w:rPr>
              <w:t>Итого по внутригородским, внутрипоселковым дорогам:</w:t>
            </w:r>
          </w:p>
        </w:tc>
        <w:tc>
          <w:tcPr>
            <w:tcW w:w="1590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F2FAFE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667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F2FAFE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3 449 500</w:t>
            </w:r>
          </w:p>
        </w:tc>
        <w:tc>
          <w:tcPr>
            <w:tcW w:w="1186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F2FAFE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3 242 500</w:t>
            </w:r>
          </w:p>
        </w:tc>
        <w:tc>
          <w:tcPr>
            <w:tcW w:w="1066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F2FAFE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207 000</w:t>
            </w:r>
          </w:p>
        </w:tc>
        <w:tc>
          <w:tcPr>
            <w:tcW w:w="1280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F2FAFE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227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F2FAFE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040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F2FAFE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242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top w:w="28" w:type="dxa"/>
              <w:left w:w="25" w:type="dxa"/>
              <w:bottom w:w="28" w:type="dxa"/>
              <w:right w:w="28" w:type="dxa"/>
            </w:tcMar>
          </w:tcPr>
          <w:p>
            <w:pPr>
              <w:pStyle w:val="Style19"/>
              <w:spacing w:before="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Style15"/>
        <w:widowControl/>
        <w:spacing w:lineRule="atLeast" w:line="225" w:before="0" w:after="150"/>
        <w:ind w:left="0" w:right="0" w:hanging="0"/>
        <w:jc w:val="center"/>
        <w:rPr>
          <w:rFonts w:ascii="Arial;Helvetica;sans-serif" w:hAnsi="Arial;Helvetica;sans-serif"/>
          <w:b/>
          <w:b/>
          <w:i w:val="false"/>
          <w:i w:val="false"/>
          <w:caps w:val="false"/>
          <w:smallCaps w:val="false"/>
          <w:color w:val="333333"/>
          <w:spacing w:val="0"/>
          <w:sz w:val="36"/>
        </w:rPr>
      </w:pPr>
      <w:r>
        <w:rPr>
          <w:rFonts w:ascii="Arial;Helvetica;sans-serif" w:hAnsi="Arial;Helvetica;sans-serif"/>
          <w:b/>
          <w:i w:val="false"/>
          <w:caps w:val="false"/>
          <w:smallCaps w:val="false"/>
          <w:color w:val="333333"/>
          <w:spacing w:val="0"/>
          <w:sz w:val="36"/>
        </w:rPr>
      </w:r>
    </w:p>
    <w:p>
      <w:pPr>
        <w:pStyle w:val="Style15"/>
        <w:widowControl/>
        <w:spacing w:lineRule="atLeast" w:line="225" w:before="0" w:after="150"/>
        <w:ind w:left="0" w:right="0" w:hanging="0"/>
        <w:jc w:val="center"/>
        <w:rPr>
          <w:rFonts w:ascii="Arial;Helvetica;sans-serif" w:hAnsi="Arial;Helvetica;sans-serif"/>
          <w:b/>
          <w:b/>
          <w:i w:val="false"/>
          <w:i w:val="false"/>
          <w:caps w:val="false"/>
          <w:smallCaps w:val="false"/>
          <w:color w:val="333333"/>
          <w:spacing w:val="0"/>
          <w:sz w:val="36"/>
        </w:rPr>
      </w:pPr>
      <w:r>
        <w:rPr>
          <w:rFonts w:ascii="Arial;Helvetica;sans-serif" w:hAnsi="Arial;Helvetica;sans-serif"/>
          <w:b/>
          <w:i w:val="false"/>
          <w:caps w:val="false"/>
          <w:smallCaps w:val="false"/>
          <w:color w:val="333333"/>
          <w:spacing w:val="0"/>
          <w:sz w:val="36"/>
        </w:rPr>
      </w:r>
    </w:p>
    <w:p>
      <w:pPr>
        <w:pStyle w:val="Style15"/>
        <w:widowControl/>
        <w:spacing w:lineRule="atLeast" w:line="225" w:before="0" w:after="150"/>
        <w:ind w:left="0" w:right="0" w:hanging="0"/>
        <w:jc w:val="center"/>
        <w:rPr>
          <w:rFonts w:ascii="Arial;Helvetica;sans-serif" w:hAnsi="Arial;Helvetica;sans-serif"/>
          <w:b/>
          <w:b/>
          <w:i w:val="false"/>
          <w:i w:val="false"/>
          <w:caps w:val="false"/>
          <w:smallCaps w:val="false"/>
          <w:color w:val="333333"/>
          <w:spacing w:val="0"/>
          <w:sz w:val="36"/>
        </w:rPr>
      </w:pPr>
      <w:r>
        <w:rPr>
          <w:rFonts w:ascii="Arial;Helvetica;sans-serif" w:hAnsi="Arial;Helvetica;sans-serif"/>
          <w:b/>
          <w:i w:val="false"/>
          <w:caps w:val="false"/>
          <w:smallCaps w:val="false"/>
          <w:color w:val="333333"/>
          <w:spacing w:val="0"/>
          <w:sz w:val="36"/>
        </w:rPr>
        <w:t>Содержание автомобильных дорог Белокалитвинского района в 2016 году</w:t>
      </w:r>
    </w:p>
    <w:tbl>
      <w:tblPr>
        <w:tblW w:w="14570" w:type="dxa"/>
        <w:jc w:val="left"/>
        <w:tblInd w:w="72" w:type="dxa"/>
        <w:tblBorders>
          <w:top w:val="single" w:sz="2" w:space="0" w:color="C6CCCF"/>
          <w:left w:val="single" w:sz="2" w:space="0" w:color="C6CCCF"/>
          <w:bottom w:val="single" w:sz="2" w:space="0" w:color="C6CCCF"/>
          <w:right w:val="single" w:sz="2" w:space="0" w:color="C6CCCF"/>
          <w:insideH w:val="single" w:sz="2" w:space="0" w:color="C6CCCF"/>
          <w:insideV w:val="single" w:sz="2" w:space="0" w:color="C6CCCF"/>
        </w:tblBorders>
        <w:tblCellMar>
          <w:top w:w="150" w:type="dxa"/>
          <w:left w:w="71" w:type="dxa"/>
          <w:bottom w:w="150" w:type="dxa"/>
          <w:right w:w="75" w:type="dxa"/>
        </w:tblCellMar>
      </w:tblPr>
      <w:tblGrid>
        <w:gridCol w:w="370"/>
        <w:gridCol w:w="3464"/>
        <w:gridCol w:w="2301"/>
        <w:gridCol w:w="1776"/>
        <w:gridCol w:w="1555"/>
        <w:gridCol w:w="1"/>
        <w:gridCol w:w="4032"/>
        <w:gridCol w:w="1"/>
        <w:gridCol w:w="1069"/>
      </w:tblGrid>
      <w:tr>
        <w:trPr>
          <w:trHeight w:val="1650" w:hRule="atLeast"/>
        </w:trPr>
        <w:tc>
          <w:tcPr>
            <w:tcW w:w="370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F2FAFE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/>
            </w:pPr>
            <w:r>
              <w:rPr/>
              <w:t>№</w:t>
            </w:r>
          </w:p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п/п</w:t>
            </w:r>
          </w:p>
        </w:tc>
        <w:tc>
          <w:tcPr>
            <w:tcW w:w="3464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F2FAFE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rPr>
                <w:b w:val="false"/>
                <w:b w:val="false"/>
              </w:rPr>
            </w:pPr>
            <w:r>
              <w:rPr>
                <w:b w:val="false"/>
              </w:rPr>
              <w:t>Наименование поселения входящего в состав Белокалитвинского района</w:t>
            </w:r>
          </w:p>
        </w:tc>
        <w:tc>
          <w:tcPr>
            <w:tcW w:w="2301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F2FAFE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Объём финансирования, всего(руб)</w:t>
            </w:r>
          </w:p>
        </w:tc>
        <w:tc>
          <w:tcPr>
            <w:tcW w:w="3332" w:type="dxa"/>
            <w:gridSpan w:val="3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F2FAFE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В том числе,</w:t>
            </w:r>
          </w:p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(руб.)</w:t>
            </w:r>
          </w:p>
        </w:tc>
        <w:tc>
          <w:tcPr>
            <w:tcW w:w="4033" w:type="dxa"/>
            <w:gridSpan w:val="2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F2FAFE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Ф.И.О., должностных лиц, подписывающих акты о приёмке</w:t>
            </w:r>
          </w:p>
        </w:tc>
        <w:tc>
          <w:tcPr>
            <w:tcW w:w="1069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F2FAFE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Лицо, осуществляющее технический надзор</w:t>
            </w:r>
          </w:p>
        </w:tc>
      </w:tr>
      <w:tr>
        <w:trPr/>
        <w:tc>
          <w:tcPr>
            <w:tcW w:w="370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1</w:t>
            </w:r>
          </w:p>
        </w:tc>
        <w:tc>
          <w:tcPr>
            <w:tcW w:w="3464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2</w:t>
            </w:r>
          </w:p>
        </w:tc>
        <w:tc>
          <w:tcPr>
            <w:tcW w:w="2301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1776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Областной бюджет</w:t>
            </w:r>
          </w:p>
        </w:tc>
        <w:tc>
          <w:tcPr>
            <w:tcW w:w="1555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Местный бюджет</w:t>
            </w:r>
          </w:p>
        </w:tc>
        <w:tc>
          <w:tcPr>
            <w:tcW w:w="4033" w:type="dxa"/>
            <w:gridSpan w:val="2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1070" w:type="dxa"/>
            <w:gridSpan w:val="2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before="0" w:after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370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F2FAFE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rPr>
                <w:b w:val="false"/>
                <w:b w:val="false"/>
              </w:rPr>
            </w:pPr>
            <w:r>
              <w:rPr>
                <w:b w:val="false"/>
              </w:rPr>
              <w:t>1.</w:t>
            </w:r>
          </w:p>
        </w:tc>
        <w:tc>
          <w:tcPr>
            <w:tcW w:w="3464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F2FAFE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rPr>
                <w:b w:val="false"/>
                <w:b w:val="false"/>
              </w:rPr>
            </w:pPr>
            <w:r>
              <w:rPr>
                <w:b w:val="false"/>
              </w:rPr>
              <w:t>Межпоселковые автомобильные дороги</w:t>
            </w:r>
          </w:p>
        </w:tc>
        <w:tc>
          <w:tcPr>
            <w:tcW w:w="2301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F2FAFE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11 500 000</w:t>
            </w:r>
          </w:p>
        </w:tc>
        <w:tc>
          <w:tcPr>
            <w:tcW w:w="1776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F2FAFE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-</w:t>
            </w:r>
          </w:p>
        </w:tc>
        <w:tc>
          <w:tcPr>
            <w:tcW w:w="1555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F2FAFE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11 500 000</w:t>
            </w:r>
          </w:p>
        </w:tc>
        <w:tc>
          <w:tcPr>
            <w:tcW w:w="4033" w:type="dxa"/>
            <w:gridSpan w:val="2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F2FAFE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Должников А. В.</w:t>
            </w:r>
          </w:p>
        </w:tc>
        <w:tc>
          <w:tcPr>
            <w:tcW w:w="1070" w:type="dxa"/>
            <w:gridSpan w:val="2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F2FAFE" w:val="clear"/>
            <w:tcMar>
              <w:left w:w="71" w:type="dxa"/>
            </w:tcMar>
            <w:vAlign w:val="center"/>
          </w:tcPr>
          <w:p>
            <w:pPr>
              <w:pStyle w:val="Style19"/>
              <w:spacing w:before="0" w:after="0"/>
              <w:ind w:left="0" w:right="0" w:hanging="0"/>
              <w:rPr/>
            </w:pPr>
            <w:r>
              <w:rPr/>
            </w:r>
          </w:p>
        </w:tc>
      </w:tr>
      <w:tr>
        <w:trPr>
          <w:trHeight w:val="882" w:hRule="atLeast"/>
        </w:trPr>
        <w:tc>
          <w:tcPr>
            <w:tcW w:w="370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3464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rPr>
                <w:b w:val="false"/>
                <w:b w:val="false"/>
              </w:rPr>
            </w:pPr>
            <w:r>
              <w:rPr>
                <w:b w:val="false"/>
              </w:rPr>
              <w:t>Итого по межпоселковым дорогам</w:t>
            </w:r>
          </w:p>
        </w:tc>
        <w:tc>
          <w:tcPr>
            <w:tcW w:w="2301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11 500 000</w:t>
            </w:r>
          </w:p>
        </w:tc>
        <w:tc>
          <w:tcPr>
            <w:tcW w:w="1776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-</w:t>
            </w:r>
          </w:p>
        </w:tc>
        <w:tc>
          <w:tcPr>
            <w:tcW w:w="1555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11 500 000</w:t>
            </w:r>
          </w:p>
        </w:tc>
        <w:tc>
          <w:tcPr>
            <w:tcW w:w="4033" w:type="dxa"/>
            <w:gridSpan w:val="2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1070" w:type="dxa"/>
            <w:gridSpan w:val="2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before="0" w:after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370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F2FAFE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rPr>
                <w:b w:val="false"/>
                <w:b w:val="false"/>
              </w:rPr>
            </w:pPr>
            <w:r>
              <w:rPr>
                <w:b w:val="false"/>
              </w:rPr>
              <w:t>2.</w:t>
            </w:r>
          </w:p>
        </w:tc>
        <w:tc>
          <w:tcPr>
            <w:tcW w:w="3464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F2FAFE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rPr>
                <w:b w:val="false"/>
                <w:b w:val="false"/>
              </w:rPr>
            </w:pPr>
            <w:r>
              <w:rPr>
                <w:b w:val="false"/>
              </w:rPr>
              <w:t>Внутригородские , внутрипоселковые автомобильные дороги , в том числе:</w:t>
            </w:r>
          </w:p>
        </w:tc>
        <w:tc>
          <w:tcPr>
            <w:tcW w:w="2301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F2FAFE" w:val="clear"/>
            <w:tcMar>
              <w:left w:w="71" w:type="dxa"/>
            </w:tcMar>
            <w:vAlign w:val="center"/>
          </w:tcPr>
          <w:p>
            <w:pPr>
              <w:pStyle w:val="Style19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776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F2FAFE" w:val="clear"/>
            <w:tcMar>
              <w:left w:w="71" w:type="dxa"/>
            </w:tcMar>
            <w:vAlign w:val="center"/>
          </w:tcPr>
          <w:p>
            <w:pPr>
              <w:pStyle w:val="Style19"/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1555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F2FAFE" w:val="clear"/>
            <w:tcMar>
              <w:left w:w="71" w:type="dxa"/>
            </w:tcMar>
            <w:vAlign w:val="center"/>
          </w:tcPr>
          <w:p>
            <w:pPr>
              <w:pStyle w:val="Style19"/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4033" w:type="dxa"/>
            <w:gridSpan w:val="2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F2FAFE" w:val="clear"/>
            <w:tcMar>
              <w:left w:w="71" w:type="dxa"/>
            </w:tcMar>
            <w:vAlign w:val="center"/>
          </w:tcPr>
          <w:p>
            <w:pPr>
              <w:pStyle w:val="Style19"/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1070" w:type="dxa"/>
            <w:gridSpan w:val="2"/>
            <w:vMerge w:val="restart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F2FAFE" w:val="clear"/>
            <w:tcMar>
              <w:left w:w="71" w:type="dxa"/>
            </w:tcMar>
            <w:vAlign w:val="center"/>
          </w:tcPr>
          <w:p>
            <w:pPr>
              <w:pStyle w:val="Style19"/>
              <w:spacing w:before="0" w:after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370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3464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rPr>
                <w:b w:val="false"/>
                <w:b w:val="false"/>
              </w:rPr>
            </w:pPr>
            <w:r>
              <w:rPr>
                <w:b w:val="false"/>
              </w:rPr>
              <w:t>Белокалитвинское г.п</w:t>
            </w:r>
          </w:p>
        </w:tc>
        <w:tc>
          <w:tcPr>
            <w:tcW w:w="2301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5 783 000</w:t>
            </w:r>
          </w:p>
        </w:tc>
        <w:tc>
          <w:tcPr>
            <w:tcW w:w="1776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5 436 000</w:t>
            </w:r>
          </w:p>
        </w:tc>
        <w:tc>
          <w:tcPr>
            <w:tcW w:w="1555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347 000</w:t>
            </w:r>
          </w:p>
        </w:tc>
        <w:tc>
          <w:tcPr>
            <w:tcW w:w="4033" w:type="dxa"/>
            <w:gridSpan w:val="2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before="0" w:after="0"/>
              <w:ind w:left="0" w:right="0" w:hanging="0"/>
              <w:jc w:val="center"/>
              <w:rPr/>
            </w:pPr>
            <w:r>
              <w:rPr/>
              <w:t>Сягайло С. Л.</w:t>
            </w:r>
          </w:p>
        </w:tc>
        <w:tc>
          <w:tcPr>
            <w:tcW w:w="1070" w:type="dxa"/>
            <w:gridSpan w:val="2"/>
            <w:vMerge w:val="continue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F2FAFE" w:val="clear"/>
            <w:tcMar>
              <w:left w:w="7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70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F2FAFE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3464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F2FAFE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rPr>
                <w:b w:val="false"/>
                <w:b w:val="false"/>
              </w:rPr>
            </w:pPr>
            <w:r>
              <w:rPr>
                <w:b w:val="false"/>
              </w:rPr>
              <w:t>Богураевское с.п.</w:t>
            </w:r>
          </w:p>
        </w:tc>
        <w:tc>
          <w:tcPr>
            <w:tcW w:w="2301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F2FAFE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418 700</w:t>
            </w:r>
          </w:p>
        </w:tc>
        <w:tc>
          <w:tcPr>
            <w:tcW w:w="1776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F2FAFE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393 500</w:t>
            </w:r>
          </w:p>
        </w:tc>
        <w:tc>
          <w:tcPr>
            <w:tcW w:w="1555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F2FAFE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25 200</w:t>
            </w:r>
          </w:p>
        </w:tc>
        <w:tc>
          <w:tcPr>
            <w:tcW w:w="4033" w:type="dxa"/>
            <w:gridSpan w:val="2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F2FAFE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Белоконев В. П.</w:t>
            </w:r>
          </w:p>
        </w:tc>
        <w:tc>
          <w:tcPr>
            <w:tcW w:w="1070" w:type="dxa"/>
            <w:gridSpan w:val="2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F2FAFE" w:val="clear"/>
            <w:tcMar>
              <w:left w:w="71" w:type="dxa"/>
            </w:tcMar>
            <w:vAlign w:val="center"/>
          </w:tcPr>
          <w:p>
            <w:pPr>
              <w:pStyle w:val="Style19"/>
              <w:spacing w:before="0" w:after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370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3464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rPr>
                <w:b w:val="false"/>
                <w:b w:val="false"/>
              </w:rPr>
            </w:pPr>
            <w:r>
              <w:rPr>
                <w:b w:val="false"/>
              </w:rPr>
              <w:t>Горняцкое с.п.</w:t>
            </w:r>
          </w:p>
        </w:tc>
        <w:tc>
          <w:tcPr>
            <w:tcW w:w="2301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625 900</w:t>
            </w:r>
          </w:p>
        </w:tc>
        <w:tc>
          <w:tcPr>
            <w:tcW w:w="1776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588 300</w:t>
            </w:r>
          </w:p>
        </w:tc>
        <w:tc>
          <w:tcPr>
            <w:tcW w:w="1555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37 600</w:t>
            </w:r>
          </w:p>
        </w:tc>
        <w:tc>
          <w:tcPr>
            <w:tcW w:w="4033" w:type="dxa"/>
            <w:gridSpan w:val="2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Снисаренко О. П.</w:t>
            </w:r>
          </w:p>
        </w:tc>
        <w:tc>
          <w:tcPr>
            <w:tcW w:w="1070" w:type="dxa"/>
            <w:gridSpan w:val="2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before="0" w:after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370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F2FAFE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3464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F2FAFE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rPr>
                <w:b w:val="false"/>
                <w:b w:val="false"/>
              </w:rPr>
            </w:pPr>
            <w:r>
              <w:rPr>
                <w:b w:val="false"/>
              </w:rPr>
              <w:t>Грушево-Дубовское с.п.</w:t>
            </w:r>
          </w:p>
        </w:tc>
        <w:tc>
          <w:tcPr>
            <w:tcW w:w="2301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F2FAFE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266 000</w:t>
            </w:r>
          </w:p>
        </w:tc>
        <w:tc>
          <w:tcPr>
            <w:tcW w:w="1776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F2FAFE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250 000</w:t>
            </w:r>
          </w:p>
        </w:tc>
        <w:tc>
          <w:tcPr>
            <w:tcW w:w="1555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F2FAFE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16 000</w:t>
            </w:r>
          </w:p>
        </w:tc>
        <w:tc>
          <w:tcPr>
            <w:tcW w:w="4033" w:type="dxa"/>
            <w:gridSpan w:val="2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F2FAFE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Полупанов А. А.</w:t>
            </w:r>
          </w:p>
        </w:tc>
        <w:tc>
          <w:tcPr>
            <w:tcW w:w="1070" w:type="dxa"/>
            <w:gridSpan w:val="2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F2FAFE" w:val="clear"/>
            <w:tcMar>
              <w:left w:w="71" w:type="dxa"/>
            </w:tcMar>
            <w:vAlign w:val="center"/>
          </w:tcPr>
          <w:p>
            <w:pPr>
              <w:pStyle w:val="Style19"/>
              <w:spacing w:before="0" w:after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370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3464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rPr>
                <w:b w:val="false"/>
                <w:b w:val="false"/>
              </w:rPr>
            </w:pPr>
            <w:r>
              <w:rPr>
                <w:b w:val="false"/>
              </w:rPr>
              <w:t>Ильинское с.п.</w:t>
            </w:r>
          </w:p>
        </w:tc>
        <w:tc>
          <w:tcPr>
            <w:tcW w:w="2301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260 900</w:t>
            </w:r>
          </w:p>
        </w:tc>
        <w:tc>
          <w:tcPr>
            <w:tcW w:w="1776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245 200</w:t>
            </w:r>
          </w:p>
        </w:tc>
        <w:tc>
          <w:tcPr>
            <w:tcW w:w="1555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15 700</w:t>
            </w:r>
          </w:p>
        </w:tc>
        <w:tc>
          <w:tcPr>
            <w:tcW w:w="4033" w:type="dxa"/>
            <w:gridSpan w:val="2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Сулименко Ю. И.</w:t>
            </w:r>
          </w:p>
        </w:tc>
        <w:tc>
          <w:tcPr>
            <w:tcW w:w="1070" w:type="dxa"/>
            <w:gridSpan w:val="2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before="0" w:after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370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3464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rPr>
                <w:b w:val="false"/>
                <w:b w:val="false"/>
              </w:rPr>
            </w:pPr>
            <w:r>
              <w:rPr>
                <w:b w:val="false"/>
              </w:rPr>
              <w:t>Коксовское с.п.</w:t>
            </w:r>
          </w:p>
        </w:tc>
        <w:tc>
          <w:tcPr>
            <w:tcW w:w="2301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639 100</w:t>
            </w:r>
          </w:p>
        </w:tc>
        <w:tc>
          <w:tcPr>
            <w:tcW w:w="1776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600 700</w:t>
            </w:r>
          </w:p>
        </w:tc>
        <w:tc>
          <w:tcPr>
            <w:tcW w:w="1555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38 400</w:t>
            </w:r>
          </w:p>
        </w:tc>
        <w:tc>
          <w:tcPr>
            <w:tcW w:w="4033" w:type="dxa"/>
            <w:gridSpan w:val="2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Киреев С. И.</w:t>
            </w:r>
          </w:p>
        </w:tc>
        <w:tc>
          <w:tcPr>
            <w:tcW w:w="1070" w:type="dxa"/>
            <w:gridSpan w:val="2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top w:w="28" w:type="dxa"/>
              <w:left w:w="25" w:type="dxa"/>
              <w:bottom w:w="28" w:type="dxa"/>
              <w:right w:w="28" w:type="dxa"/>
            </w:tcMar>
          </w:tcPr>
          <w:p>
            <w:pPr>
              <w:pStyle w:val="Style19"/>
              <w:spacing w:before="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370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3464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rPr>
                <w:b w:val="false"/>
                <w:b w:val="false"/>
              </w:rPr>
            </w:pPr>
            <w:r>
              <w:rPr>
                <w:b w:val="false"/>
              </w:rPr>
              <w:t>Краснодонецкое с.п.</w:t>
            </w:r>
          </w:p>
        </w:tc>
        <w:tc>
          <w:tcPr>
            <w:tcW w:w="2301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234 200</w:t>
            </w:r>
          </w:p>
        </w:tc>
        <w:tc>
          <w:tcPr>
            <w:tcW w:w="1776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220 100</w:t>
            </w:r>
          </w:p>
        </w:tc>
        <w:tc>
          <w:tcPr>
            <w:tcW w:w="1555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14 100</w:t>
            </w:r>
          </w:p>
        </w:tc>
        <w:tc>
          <w:tcPr>
            <w:tcW w:w="4033" w:type="dxa"/>
            <w:gridSpan w:val="2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Быкадоров Ф. Г.</w:t>
            </w:r>
          </w:p>
        </w:tc>
        <w:tc>
          <w:tcPr>
            <w:tcW w:w="1070" w:type="dxa"/>
            <w:gridSpan w:val="2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top w:w="28" w:type="dxa"/>
              <w:left w:w="25" w:type="dxa"/>
              <w:bottom w:w="28" w:type="dxa"/>
              <w:right w:w="28" w:type="dxa"/>
            </w:tcMar>
          </w:tcPr>
          <w:p>
            <w:pPr>
              <w:pStyle w:val="Style19"/>
              <w:spacing w:before="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370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3464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rPr>
                <w:b w:val="false"/>
                <w:b w:val="false"/>
              </w:rPr>
            </w:pPr>
            <w:r>
              <w:rPr>
                <w:b w:val="false"/>
              </w:rPr>
              <w:t>Литвиновское с.п.</w:t>
            </w:r>
          </w:p>
        </w:tc>
        <w:tc>
          <w:tcPr>
            <w:tcW w:w="2301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282 700</w:t>
            </w:r>
          </w:p>
        </w:tc>
        <w:tc>
          <w:tcPr>
            <w:tcW w:w="1776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265 700</w:t>
            </w:r>
          </w:p>
        </w:tc>
        <w:tc>
          <w:tcPr>
            <w:tcW w:w="1555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17 000</w:t>
            </w:r>
          </w:p>
        </w:tc>
        <w:tc>
          <w:tcPr>
            <w:tcW w:w="4033" w:type="dxa"/>
            <w:gridSpan w:val="2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Холоднякова Т. Г.</w:t>
            </w:r>
          </w:p>
        </w:tc>
        <w:tc>
          <w:tcPr>
            <w:tcW w:w="1070" w:type="dxa"/>
            <w:gridSpan w:val="2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top w:w="28" w:type="dxa"/>
              <w:left w:w="25" w:type="dxa"/>
              <w:bottom w:w="28" w:type="dxa"/>
              <w:right w:w="28" w:type="dxa"/>
            </w:tcMar>
          </w:tcPr>
          <w:p>
            <w:pPr>
              <w:pStyle w:val="Style19"/>
              <w:spacing w:before="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370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3464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rPr>
                <w:b w:val="false"/>
                <w:b w:val="false"/>
              </w:rPr>
            </w:pPr>
            <w:r>
              <w:rPr>
                <w:b w:val="false"/>
              </w:rPr>
              <w:t>Нижнепоповское с.п.</w:t>
            </w:r>
          </w:p>
        </w:tc>
        <w:tc>
          <w:tcPr>
            <w:tcW w:w="2301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945 800</w:t>
            </w:r>
          </w:p>
        </w:tc>
        <w:tc>
          <w:tcPr>
            <w:tcW w:w="1776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889 000</w:t>
            </w:r>
          </w:p>
        </w:tc>
        <w:tc>
          <w:tcPr>
            <w:tcW w:w="1555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56 800</w:t>
            </w:r>
          </w:p>
        </w:tc>
        <w:tc>
          <w:tcPr>
            <w:tcW w:w="4033" w:type="dxa"/>
            <w:gridSpan w:val="2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Грицыхин В. А.</w:t>
            </w:r>
          </w:p>
        </w:tc>
        <w:tc>
          <w:tcPr>
            <w:tcW w:w="1070" w:type="dxa"/>
            <w:gridSpan w:val="2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top w:w="28" w:type="dxa"/>
              <w:left w:w="25" w:type="dxa"/>
              <w:bottom w:w="28" w:type="dxa"/>
              <w:right w:w="28" w:type="dxa"/>
            </w:tcMar>
          </w:tcPr>
          <w:p>
            <w:pPr>
              <w:pStyle w:val="Style19"/>
              <w:spacing w:before="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370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3464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rPr>
                <w:b w:val="false"/>
                <w:b w:val="false"/>
              </w:rPr>
            </w:pPr>
            <w:r>
              <w:rPr>
                <w:b w:val="false"/>
              </w:rPr>
              <w:t>Рудаковское с.п.</w:t>
            </w:r>
          </w:p>
        </w:tc>
        <w:tc>
          <w:tcPr>
            <w:tcW w:w="2301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179 800</w:t>
            </w:r>
          </w:p>
        </w:tc>
        <w:tc>
          <w:tcPr>
            <w:tcW w:w="1776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169 000</w:t>
            </w:r>
          </w:p>
        </w:tc>
        <w:tc>
          <w:tcPr>
            <w:tcW w:w="1555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10 800</w:t>
            </w:r>
          </w:p>
        </w:tc>
        <w:tc>
          <w:tcPr>
            <w:tcW w:w="4033" w:type="dxa"/>
            <w:gridSpan w:val="2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Сонкин В. Н.</w:t>
            </w:r>
          </w:p>
        </w:tc>
        <w:tc>
          <w:tcPr>
            <w:tcW w:w="1070" w:type="dxa"/>
            <w:gridSpan w:val="2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top w:w="28" w:type="dxa"/>
              <w:left w:w="25" w:type="dxa"/>
              <w:bottom w:w="28" w:type="dxa"/>
              <w:right w:w="28" w:type="dxa"/>
            </w:tcMar>
          </w:tcPr>
          <w:p>
            <w:pPr>
              <w:pStyle w:val="Style19"/>
              <w:spacing w:before="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370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3464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rPr>
                <w:b w:val="false"/>
                <w:b w:val="false"/>
              </w:rPr>
            </w:pPr>
            <w:r>
              <w:rPr>
                <w:b w:val="false"/>
              </w:rPr>
              <w:t>Синегорское с.п.</w:t>
            </w:r>
          </w:p>
        </w:tc>
        <w:tc>
          <w:tcPr>
            <w:tcW w:w="2301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736 400</w:t>
            </w:r>
          </w:p>
        </w:tc>
        <w:tc>
          <w:tcPr>
            <w:tcW w:w="1776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692 200</w:t>
            </w:r>
          </w:p>
        </w:tc>
        <w:tc>
          <w:tcPr>
            <w:tcW w:w="1555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44 200</w:t>
            </w:r>
          </w:p>
        </w:tc>
        <w:tc>
          <w:tcPr>
            <w:tcW w:w="4033" w:type="dxa"/>
            <w:gridSpan w:val="2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Волков Н. И.</w:t>
            </w:r>
          </w:p>
        </w:tc>
        <w:tc>
          <w:tcPr>
            <w:tcW w:w="1070" w:type="dxa"/>
            <w:gridSpan w:val="2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top w:w="28" w:type="dxa"/>
              <w:left w:w="25" w:type="dxa"/>
              <w:bottom w:w="28" w:type="dxa"/>
              <w:right w:w="28" w:type="dxa"/>
            </w:tcMar>
          </w:tcPr>
          <w:p>
            <w:pPr>
              <w:pStyle w:val="Style19"/>
              <w:spacing w:before="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370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3464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rPr>
                <w:b w:val="false"/>
                <w:b w:val="false"/>
              </w:rPr>
            </w:pPr>
            <w:r>
              <w:rPr>
                <w:b w:val="false"/>
              </w:rPr>
              <w:t>Шолоховское г.п.</w:t>
            </w:r>
          </w:p>
        </w:tc>
        <w:tc>
          <w:tcPr>
            <w:tcW w:w="2301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785 400</w:t>
            </w:r>
          </w:p>
        </w:tc>
        <w:tc>
          <w:tcPr>
            <w:tcW w:w="1776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738 200</w:t>
            </w:r>
          </w:p>
        </w:tc>
        <w:tc>
          <w:tcPr>
            <w:tcW w:w="1555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47 200</w:t>
            </w:r>
          </w:p>
        </w:tc>
        <w:tc>
          <w:tcPr>
            <w:tcW w:w="4033" w:type="dxa"/>
            <w:gridSpan w:val="2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Казаков М. Б.</w:t>
            </w:r>
          </w:p>
        </w:tc>
        <w:tc>
          <w:tcPr>
            <w:tcW w:w="1070" w:type="dxa"/>
            <w:gridSpan w:val="2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top w:w="28" w:type="dxa"/>
              <w:left w:w="25" w:type="dxa"/>
              <w:bottom w:w="28" w:type="dxa"/>
              <w:right w:w="28" w:type="dxa"/>
            </w:tcMar>
          </w:tcPr>
          <w:p>
            <w:pPr>
              <w:pStyle w:val="Style19"/>
              <w:spacing w:before="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370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3464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rPr>
                <w:b w:val="false"/>
                <w:b w:val="false"/>
              </w:rPr>
            </w:pPr>
            <w:r>
              <w:rPr>
                <w:b w:val="false"/>
              </w:rPr>
              <w:t>Итого по внутригородским, внутрипоселковым дорогам:</w:t>
            </w:r>
          </w:p>
        </w:tc>
        <w:tc>
          <w:tcPr>
            <w:tcW w:w="2301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11 157 900</w:t>
            </w:r>
          </w:p>
        </w:tc>
        <w:tc>
          <w:tcPr>
            <w:tcW w:w="1776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Normal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10 487 900</w:t>
            </w:r>
          </w:p>
        </w:tc>
        <w:tc>
          <w:tcPr>
            <w:tcW w:w="1555" w:type="dxa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670 000</w:t>
            </w:r>
          </w:p>
        </w:tc>
        <w:tc>
          <w:tcPr>
            <w:tcW w:w="4033" w:type="dxa"/>
            <w:gridSpan w:val="2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left w:w="71" w:type="dxa"/>
            </w:tcMar>
            <w:vAlign w:val="center"/>
          </w:tcPr>
          <w:p>
            <w:pPr>
              <w:pStyle w:val="Style19"/>
              <w:spacing w:lineRule="atLeast" w:line="225" w:before="0" w:after="0"/>
              <w:ind w:left="0" w:righ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070" w:type="dxa"/>
            <w:gridSpan w:val="2"/>
            <w:tcBorders>
              <w:top w:val="single" w:sz="2" w:space="0" w:color="C6CCCF"/>
              <w:left w:val="single" w:sz="2" w:space="0" w:color="C6CCCF"/>
              <w:bottom w:val="single" w:sz="2" w:space="0" w:color="C6CCCF"/>
              <w:right w:val="single" w:sz="2" w:space="0" w:color="C6CCCF"/>
              <w:insideH w:val="single" w:sz="2" w:space="0" w:color="C6CCCF"/>
              <w:insideV w:val="single" w:sz="2" w:space="0" w:color="C6CCCF"/>
            </w:tcBorders>
            <w:shd w:fill="auto" w:val="clear"/>
            <w:tcMar>
              <w:top w:w="28" w:type="dxa"/>
              <w:left w:w="25" w:type="dxa"/>
              <w:bottom w:w="28" w:type="dxa"/>
              <w:right w:w="28" w:type="dxa"/>
            </w:tcMar>
          </w:tcPr>
          <w:p>
            <w:pPr>
              <w:pStyle w:val="Style19"/>
              <w:spacing w:before="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Arial">
    <w:altName w:val="Helvetica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FreeSans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Droid Sans Fallback" w:cs="FreeSans"/>
      <w:color w:val="00000A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ascii="Times New Roman" w:hAnsi="Times New Roman" w:cs="FreeSans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791</TotalTime>
  <Application>LibreOffice/4.4.1.2$Linux_x86 LibreOffice_project/40m0$Build-2</Application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2016-03-02T14:40:17Z</dcterms:created>
  <dc:creator>vga  </dc:creator>
  <dc:language>ru-RU</dc:language>
  <cp:lastModifiedBy>vga  </cp:lastModifiedBy>
  <dcterms:modified xsi:type="dcterms:W3CDTF">2016-03-09T11:04:29Z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