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CC" w:rsidRDefault="008326CC">
      <w:pPr>
        <w:ind w:left="9204" w:firstLine="708"/>
      </w:pPr>
    </w:p>
    <w:p w:rsidR="008326CC" w:rsidRDefault="008326CC">
      <w:pPr>
        <w:ind w:left="9204" w:firstLine="708"/>
        <w:rPr>
          <w:rFonts w:ascii="Times New Roman" w:hAnsi="Times New Roman" w:cs="Times New Roman"/>
          <w:b/>
          <w:sz w:val="28"/>
          <w:szCs w:val="28"/>
        </w:rPr>
      </w:pPr>
    </w:p>
    <w:p w:rsidR="008326CC" w:rsidRDefault="009C7F02">
      <w:pPr>
        <w:ind w:left="920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УТВЕРЖДАЮ:  </w:t>
      </w:r>
    </w:p>
    <w:p w:rsidR="008326CC" w:rsidRDefault="009C7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района</w:t>
      </w:r>
    </w:p>
    <w:p w:rsidR="008326CC" w:rsidRDefault="009C7F0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__________________О.А. Мельникова</w:t>
      </w:r>
    </w:p>
    <w:p w:rsidR="008326CC" w:rsidRDefault="009C7F02">
      <w:pPr>
        <w:jc w:val="right"/>
      </w:pPr>
      <w:r>
        <w:rPr>
          <w:rFonts w:ascii="Times New Roman" w:hAnsi="Times New Roman" w:cs="Times New Roman"/>
          <w:b/>
          <w:sz w:val="28"/>
          <w:szCs w:val="28"/>
        </w:rPr>
        <w:t>«29»  декабря 2016г.</w:t>
      </w:r>
    </w:p>
    <w:p w:rsidR="008326CC" w:rsidRDefault="009C7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326CC" w:rsidRDefault="009C7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Осуществления сектором финансового контроля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8326CC" w:rsidRDefault="009C7F02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внутреннего финансового контроля в 2017 году.</w:t>
      </w:r>
    </w:p>
    <w:p w:rsidR="008326CC" w:rsidRDefault="008326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15516" w:type="dxa"/>
        <w:tblInd w:w="-247" w:type="dxa"/>
        <w:tblCellMar>
          <w:left w:w="23" w:type="dxa"/>
        </w:tblCellMar>
        <w:tblLook w:val="04A0"/>
      </w:tblPr>
      <w:tblGrid>
        <w:gridCol w:w="689"/>
        <w:gridCol w:w="4126"/>
        <w:gridCol w:w="1687"/>
        <w:gridCol w:w="4377"/>
        <w:gridCol w:w="2375"/>
        <w:gridCol w:w="2262"/>
      </w:tblGrid>
      <w:tr w:rsidR="008326CC">
        <w:tc>
          <w:tcPr>
            <w:tcW w:w="688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26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pStyle w:val="ab"/>
              <w:tabs>
                <w:tab w:val="left" w:pos="7451"/>
                <w:tab w:val="right" w:pos="9849"/>
              </w:tabs>
              <w:ind w:firstLine="0"/>
            </w:pPr>
            <w:r>
              <w:rPr>
                <w:b/>
                <w:szCs w:val="28"/>
              </w:rPr>
              <w:t>Наименование мероприятий</w:t>
            </w:r>
          </w:p>
        </w:tc>
        <w:tc>
          <w:tcPr>
            <w:tcW w:w="1687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pStyle w:val="ab"/>
              <w:tabs>
                <w:tab w:val="left" w:pos="7451"/>
                <w:tab w:val="right" w:pos="9849"/>
              </w:tabs>
              <w:ind w:firstLine="0"/>
            </w:pPr>
            <w:r>
              <w:rPr>
                <w:b/>
                <w:szCs w:val="28"/>
              </w:rPr>
              <w:t>Сроки проведения</w:t>
            </w:r>
          </w:p>
        </w:tc>
        <w:tc>
          <w:tcPr>
            <w:tcW w:w="4377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pStyle w:val="ab"/>
              <w:tabs>
                <w:tab w:val="left" w:pos="7451"/>
                <w:tab w:val="right" w:pos="9849"/>
              </w:tabs>
              <w:ind w:right="486" w:firstLine="0"/>
            </w:pPr>
            <w:r>
              <w:rPr>
                <w:b/>
                <w:szCs w:val="28"/>
              </w:rPr>
              <w:t>Объект   финансового контроля</w:t>
            </w:r>
          </w:p>
        </w:tc>
        <w:tc>
          <w:tcPr>
            <w:tcW w:w="2375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pStyle w:val="ab"/>
              <w:tabs>
                <w:tab w:val="left" w:pos="7451"/>
                <w:tab w:val="right" w:pos="9849"/>
              </w:tabs>
              <w:ind w:hanging="82"/>
            </w:pPr>
            <w:r>
              <w:rPr>
                <w:b/>
                <w:szCs w:val="28"/>
              </w:rPr>
              <w:t>Проверяемый     период</w:t>
            </w:r>
          </w:p>
        </w:tc>
        <w:tc>
          <w:tcPr>
            <w:tcW w:w="2262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pStyle w:val="ab"/>
              <w:tabs>
                <w:tab w:val="left" w:pos="7451"/>
                <w:tab w:val="right" w:pos="9849"/>
              </w:tabs>
              <w:ind w:firstLine="0"/>
            </w:pPr>
            <w:r>
              <w:rPr>
                <w:b/>
                <w:szCs w:val="28"/>
              </w:rPr>
              <w:t>Ответственные  исполнители</w:t>
            </w:r>
          </w:p>
        </w:tc>
      </w:tr>
      <w:tr w:rsidR="008326CC">
        <w:tc>
          <w:tcPr>
            <w:tcW w:w="15515" w:type="dxa"/>
            <w:gridSpan w:val="6"/>
            <w:shd w:val="clear" w:color="auto" w:fill="auto"/>
            <w:tcMar>
              <w:left w:w="23" w:type="dxa"/>
            </w:tcMar>
          </w:tcPr>
          <w:p w:rsidR="008326CC" w:rsidRDefault="008326CC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26CC" w:rsidRDefault="009C7F02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 Внутренний муниципальный финансовый контроль в сфере бюджетных правоотношений в отношении средств местного бюджета, а также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межбюджетных трансфертов, предоставляемых местным бюджетом</w:t>
            </w:r>
          </w:p>
          <w:p w:rsidR="008326CC" w:rsidRDefault="008326CC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6CC">
        <w:tc>
          <w:tcPr>
            <w:tcW w:w="688" w:type="dxa"/>
            <w:vMerge w:val="restart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26" w:type="dxa"/>
            <w:vMerge w:val="restart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финансово- хозяйственной деятельности</w:t>
            </w:r>
          </w:p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учреждения, в том числе отчетности об исполнении  муниципального </w:t>
            </w:r>
          </w:p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1687" w:type="dxa"/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 учреждение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 Детская музыкальная школа 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Богураев</w:t>
            </w:r>
            <w:proofErr w:type="spellEnd"/>
          </w:p>
          <w:p w:rsidR="008326CC" w:rsidRDefault="009C7F0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375" w:type="dxa"/>
            <w:vMerge w:val="restart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2016год,</w:t>
            </w:r>
          </w:p>
          <w:p w:rsidR="008326CC" w:rsidRDefault="009C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истекший период 2017года. </w:t>
            </w:r>
          </w:p>
        </w:tc>
        <w:tc>
          <w:tcPr>
            <w:tcW w:w="2262" w:type="dxa"/>
            <w:vMerge w:val="restart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финансового контроля </w:t>
            </w:r>
          </w:p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сектора 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6CC">
        <w:trPr>
          <w:trHeight w:val="1322"/>
        </w:trPr>
        <w:tc>
          <w:tcPr>
            <w:tcW w:w="688" w:type="dxa"/>
            <w:vMerge/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6" w:type="dxa"/>
            <w:vMerge/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4377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 учреждение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 Детская музыкальная школа 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Горняцкий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6CC">
        <w:trPr>
          <w:trHeight w:val="231"/>
        </w:trPr>
        <w:tc>
          <w:tcPr>
            <w:tcW w:w="688" w:type="dxa"/>
            <w:vMerge w:val="restart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126" w:type="dxa"/>
            <w:vMerge w:val="restart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целевого и эффективного использования средств резервного фонда</w:t>
            </w:r>
          </w:p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87" w:type="dxa"/>
            <w:vMerge w:val="restart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Коксовское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 поселение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 w:val="restart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2016год</w:t>
            </w:r>
          </w:p>
        </w:tc>
        <w:tc>
          <w:tcPr>
            <w:tcW w:w="2262" w:type="dxa"/>
            <w:vMerge w:val="restart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 финансового контроля</w:t>
            </w:r>
          </w:p>
          <w:p w:rsidR="008326CC" w:rsidRDefault="008326CC">
            <w:pPr>
              <w:spacing w:after="0" w:line="240" w:lineRule="auto"/>
              <w:jc w:val="center"/>
            </w:pPr>
          </w:p>
          <w:p w:rsidR="008326CC" w:rsidRDefault="009C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сектора </w:t>
            </w:r>
          </w:p>
        </w:tc>
      </w:tr>
      <w:tr w:rsidR="008326CC">
        <w:trPr>
          <w:trHeight w:val="231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  <w:tc>
          <w:tcPr>
            <w:tcW w:w="4126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  <w:tc>
          <w:tcPr>
            <w:tcW w:w="1687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  <w:tc>
          <w:tcPr>
            <w:tcW w:w="437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Горняцкое сельское поселение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  <w:tc>
          <w:tcPr>
            <w:tcW w:w="2262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</w:tr>
      <w:tr w:rsidR="008326CC">
        <w:trPr>
          <w:trHeight w:val="231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  <w:tc>
          <w:tcPr>
            <w:tcW w:w="4126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  <w:tc>
          <w:tcPr>
            <w:tcW w:w="1687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  <w:tc>
          <w:tcPr>
            <w:tcW w:w="437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Шолоховское  городское поселение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  <w:tc>
          <w:tcPr>
            <w:tcW w:w="2262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</w:tr>
      <w:tr w:rsidR="008326CC">
        <w:trPr>
          <w:trHeight w:val="231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  <w:tc>
          <w:tcPr>
            <w:tcW w:w="4126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437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Рудаковское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2375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  <w:tc>
          <w:tcPr>
            <w:tcW w:w="2262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</w:tr>
      <w:tr w:rsidR="008326CC">
        <w:trPr>
          <w:trHeight w:val="924"/>
        </w:trPr>
        <w:tc>
          <w:tcPr>
            <w:tcW w:w="688" w:type="dxa"/>
            <w:vMerge w:val="restart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6" w:type="dxa"/>
            <w:vMerge w:val="restart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 целевого использования иных межбюджетных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трансфертов, выделенных поселениям из бюджета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в рамках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</w:p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«Охрана  окружающей среды и рациональное  природопользование»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квартал 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Белокалитвинское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городское поселение</w:t>
            </w:r>
          </w:p>
        </w:tc>
        <w:tc>
          <w:tcPr>
            <w:tcW w:w="2375" w:type="dxa"/>
            <w:vMerge w:val="restart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финансового контроля 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сектора 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6CC">
        <w:trPr>
          <w:trHeight w:val="924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/>
            </w:pPr>
          </w:p>
        </w:tc>
        <w:tc>
          <w:tcPr>
            <w:tcW w:w="4126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/>
            </w:pPr>
          </w:p>
        </w:tc>
        <w:tc>
          <w:tcPr>
            <w:tcW w:w="1687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/>
            </w:pPr>
          </w:p>
        </w:tc>
        <w:tc>
          <w:tcPr>
            <w:tcW w:w="437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375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/>
            </w:pPr>
          </w:p>
        </w:tc>
        <w:tc>
          <w:tcPr>
            <w:tcW w:w="2262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/>
            </w:pPr>
          </w:p>
        </w:tc>
      </w:tr>
      <w:tr w:rsidR="008326CC">
        <w:trPr>
          <w:trHeight w:val="838"/>
        </w:trPr>
        <w:tc>
          <w:tcPr>
            <w:tcW w:w="15515" w:type="dxa"/>
            <w:gridSpan w:val="6"/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26CC" w:rsidRDefault="009C7F0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Внутренний финансовый  контроль в сфере закупок в отношении закупок для обеспечения муниципальных нужд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  <w:p w:rsidR="008326CC" w:rsidRDefault="008326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26CC">
        <w:tc>
          <w:tcPr>
            <w:tcW w:w="688" w:type="dxa"/>
            <w:vMerge w:val="restart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26" w:type="dxa"/>
            <w:vMerge w:val="restart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действующего законодательства в сфере закупок 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обеспечения муниципальных нужд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в пределах полномочий закрепленных  за сектором финансового контроля.</w:t>
            </w:r>
          </w:p>
          <w:p w:rsidR="008326CC" w:rsidRDefault="008326C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ind w:firstLine="4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квартал</w:t>
            </w:r>
          </w:p>
        </w:tc>
        <w:tc>
          <w:tcPr>
            <w:tcW w:w="4377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9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Муниципальное  бюджетное учреждение дополнительного обра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зования Детская юношеская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спортивная школа  №1</w:t>
            </w:r>
          </w:p>
          <w:p w:rsidR="008326CC" w:rsidRDefault="008326CC">
            <w:pPr>
              <w:spacing w:after="0" w:line="29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 w:val="restart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год,</w:t>
            </w:r>
          </w:p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истекший период 2017года. 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специалист сектора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6CC">
        <w:trPr>
          <w:trHeight w:val="906"/>
        </w:trPr>
        <w:tc>
          <w:tcPr>
            <w:tcW w:w="688" w:type="dxa"/>
            <w:vMerge/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6" w:type="dxa"/>
            <w:vMerge/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4377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90" w:lineRule="auto"/>
              <w:jc w:val="center"/>
            </w:pPr>
            <w:bookmarkStart w:id="0" w:name="__DdeLink__311_190968115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  <w:lang w:eastAsia="ru-RU"/>
              </w:rPr>
              <w:t xml:space="preserve">Муниципальное  бюджетное учреждение </w:t>
            </w:r>
            <w:bookmarkEnd w:id="0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  <w:lang w:eastAsia="ru-RU"/>
              </w:rPr>
              <w:t xml:space="preserve">культуры  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  <w:lang w:eastAsia="ru-RU"/>
              </w:rPr>
              <w:t xml:space="preserve"> района «</w:t>
            </w:r>
            <w:proofErr w:type="spellStart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  <w:lang w:eastAsia="ru-RU"/>
              </w:rPr>
              <w:t>Белокалитвинский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  <w:lang w:eastAsia="ru-RU"/>
              </w:rPr>
              <w:t>историко</w:t>
            </w:r>
            <w:proofErr w:type="spellEnd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  <w:lang w:eastAsia="ru-RU"/>
              </w:rPr>
              <w:t>- краеведческий</w:t>
            </w:r>
            <w:proofErr w:type="gramEnd"/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  <w:lang w:eastAsia="ru-RU"/>
              </w:rPr>
              <w:t xml:space="preserve"> музей»</w:t>
            </w: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  <w:lang w:eastAsia="ru-RU"/>
              </w:rPr>
              <w:br/>
            </w:r>
          </w:p>
        </w:tc>
        <w:tc>
          <w:tcPr>
            <w:tcW w:w="2375" w:type="dxa"/>
            <w:vMerge/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  <w:tc>
          <w:tcPr>
            <w:tcW w:w="2262" w:type="dxa"/>
            <w:vMerge/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6CC">
        <w:trPr>
          <w:trHeight w:val="906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6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7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90" w:lineRule="auto"/>
              <w:jc w:val="center"/>
            </w:pP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  <w:lang w:eastAsia="ru-RU"/>
              </w:rPr>
              <w:t>Муниципальное  бюджетное учреждение  дополнительного  образования Центр технического творчества</w:t>
            </w:r>
          </w:p>
          <w:p w:rsidR="008326CC" w:rsidRDefault="008326CC">
            <w:pPr>
              <w:spacing w:after="0" w:line="290" w:lineRule="auto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</w:pPr>
          </w:p>
        </w:tc>
        <w:tc>
          <w:tcPr>
            <w:tcW w:w="2262" w:type="dxa"/>
            <w:vMerge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6CC">
        <w:tc>
          <w:tcPr>
            <w:tcW w:w="15515" w:type="dxa"/>
            <w:gridSpan w:val="6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8326CC" w:rsidRDefault="009C7F02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      Контрольно-аналитические мероприятия</w:t>
            </w:r>
          </w:p>
        </w:tc>
      </w:tr>
      <w:tr w:rsidR="008326CC">
        <w:trPr>
          <w:trHeight w:val="1836"/>
        </w:trPr>
        <w:tc>
          <w:tcPr>
            <w:tcW w:w="688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6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годового отчета о деятельности сектора финансового контроля за 2016 год</w:t>
            </w:r>
          </w:p>
        </w:tc>
        <w:tc>
          <w:tcPr>
            <w:tcW w:w="1687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4377" w:type="dxa"/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tcMar>
              <w:left w:w="23" w:type="dxa"/>
            </w:tcMar>
          </w:tcPr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финансового контроля </w:t>
            </w:r>
          </w:p>
        </w:tc>
      </w:tr>
      <w:tr w:rsidR="008326CC">
        <w:tc>
          <w:tcPr>
            <w:tcW w:w="688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26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осуществления главными распорядителями средств местного бюджета внутреннего финансового контроля и внутреннего финансового аудита</w:t>
            </w:r>
          </w:p>
        </w:tc>
        <w:tc>
          <w:tcPr>
            <w:tcW w:w="1687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</w:p>
        </w:tc>
        <w:tc>
          <w:tcPr>
            <w:tcW w:w="4377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Главные распорядители средств местного бюджета,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имеющие подведомственные  учреждения</w:t>
            </w:r>
          </w:p>
        </w:tc>
        <w:tc>
          <w:tcPr>
            <w:tcW w:w="2375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месяцев 2017 года</w:t>
            </w:r>
          </w:p>
        </w:tc>
        <w:tc>
          <w:tcPr>
            <w:tcW w:w="2262" w:type="dxa"/>
            <w:shd w:val="clear" w:color="auto" w:fill="auto"/>
            <w:tcMar>
              <w:left w:w="23" w:type="dxa"/>
            </w:tcMar>
          </w:tcPr>
          <w:p w:rsidR="008326CC" w:rsidRDefault="009C7F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 финансового контроля</w:t>
            </w: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6CC" w:rsidRDefault="00832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6CC" w:rsidRDefault="009C7F02">
      <w:pPr>
        <w:jc w:val="both"/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8326CC" w:rsidRDefault="009C7F02">
      <w:pPr>
        <w:jc w:val="both"/>
      </w:pPr>
      <w:r>
        <w:rPr>
          <w:rFonts w:ascii="Times New Roman" w:hAnsi="Times New Roman"/>
          <w:sz w:val="28"/>
          <w:szCs w:val="28"/>
        </w:rPr>
        <w:t xml:space="preserve">сектора финансового контроля                                                                                                                         О.В. Иванова </w:t>
      </w:r>
    </w:p>
    <w:p w:rsidR="008326CC" w:rsidRDefault="009C7F02">
      <w:pPr>
        <w:jc w:val="both"/>
      </w:pPr>
      <w:r>
        <w:rPr>
          <w:rFonts w:ascii="Times New Roman" w:hAnsi="Times New Roman"/>
        </w:rPr>
        <w:t>(тел 2-56-54)</w:t>
      </w:r>
    </w:p>
    <w:sectPr w:rsidR="008326CC" w:rsidSect="008326CC">
      <w:pgSz w:w="16838" w:h="11906" w:orient="landscape"/>
      <w:pgMar w:top="709" w:right="1134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326CC"/>
    <w:rsid w:val="008326CC"/>
    <w:rsid w:val="009C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A9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C033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semiHidden/>
    <w:qFormat/>
    <w:rsid w:val="00FA7F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18065C"/>
    <w:rPr>
      <w:b/>
      <w:bCs/>
    </w:rPr>
  </w:style>
  <w:style w:type="paragraph" w:customStyle="1" w:styleId="a6">
    <w:name w:val="Заголовок"/>
    <w:basedOn w:val="a"/>
    <w:next w:val="a7"/>
    <w:qFormat/>
    <w:rsid w:val="008326CC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rsid w:val="008326CC"/>
    <w:pPr>
      <w:spacing w:after="140" w:line="288" w:lineRule="auto"/>
    </w:pPr>
  </w:style>
  <w:style w:type="paragraph" w:styleId="a8">
    <w:name w:val="List"/>
    <w:basedOn w:val="a7"/>
    <w:rsid w:val="008326CC"/>
    <w:rPr>
      <w:rFonts w:ascii="Times New Roman" w:hAnsi="Times New Roman" w:cs="FreeSans"/>
    </w:rPr>
  </w:style>
  <w:style w:type="paragraph" w:styleId="a9">
    <w:name w:val="Title"/>
    <w:basedOn w:val="a"/>
    <w:rsid w:val="008326CC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rsid w:val="008326CC"/>
    <w:pPr>
      <w:suppressLineNumbers/>
    </w:pPr>
    <w:rPr>
      <w:rFonts w:ascii="Times New Roman" w:hAnsi="Times New Roman" w:cs="FreeSans"/>
    </w:rPr>
  </w:style>
  <w:style w:type="paragraph" w:customStyle="1" w:styleId="ab">
    <w:name w:val="Заглавие"/>
    <w:basedOn w:val="a"/>
    <w:qFormat/>
    <w:rsid w:val="00C03304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FA7F4C"/>
    <w:pPr>
      <w:ind w:left="720"/>
      <w:contextualSpacing/>
    </w:pPr>
  </w:style>
  <w:style w:type="paragraph" w:styleId="ad">
    <w:name w:val="Body Text Indent"/>
    <w:basedOn w:val="a"/>
    <w:semiHidden/>
    <w:rsid w:val="00FA7F4C"/>
    <w:pPr>
      <w:spacing w:after="0" w:line="240" w:lineRule="auto"/>
      <w:ind w:firstLine="12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одержимое таблицы"/>
    <w:basedOn w:val="a"/>
    <w:qFormat/>
    <w:rsid w:val="008326CC"/>
  </w:style>
  <w:style w:type="paragraph" w:customStyle="1" w:styleId="af">
    <w:name w:val="Заголовок таблицы"/>
    <w:basedOn w:val="ae"/>
    <w:qFormat/>
    <w:rsid w:val="008326CC"/>
  </w:style>
  <w:style w:type="table" w:styleId="af0">
    <w:name w:val="Table Grid"/>
    <w:basedOn w:val="a1"/>
    <w:uiPriority w:val="59"/>
    <w:rsid w:val="00C0330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975F-B816-40D9-AE49-886A294B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</dc:creator>
  <cp:lastModifiedBy>Ольга</cp:lastModifiedBy>
  <cp:revision>2</cp:revision>
  <cp:lastPrinted>2017-01-31T09:30:00Z</cp:lastPrinted>
  <dcterms:created xsi:type="dcterms:W3CDTF">2017-02-01T14:06:00Z</dcterms:created>
  <dcterms:modified xsi:type="dcterms:W3CDTF">2017-02-01T14:06:00Z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