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91" w:rsidRDefault="00993391" w:rsidP="00A17BC9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3F16307C">
            <wp:extent cx="1896110" cy="15849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866" w:rsidRPr="00B113F9" w:rsidRDefault="00D8794F" w:rsidP="00A17B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83F12">
        <w:rPr>
          <w:rFonts w:ascii="Times New Roman" w:hAnsi="Times New Roman" w:cs="Times New Roman"/>
          <w:sz w:val="28"/>
          <w:szCs w:val="28"/>
          <w:u w:val="single"/>
        </w:rPr>
        <w:t>Вопрос:</w:t>
      </w:r>
      <w:r w:rsidR="00A30D49" w:rsidRPr="007E519B">
        <w:rPr>
          <w:rFonts w:ascii="Times New Roman" w:hAnsi="Times New Roman" w:cs="Times New Roman"/>
          <w:sz w:val="28"/>
          <w:szCs w:val="28"/>
        </w:rPr>
        <w:t xml:space="preserve"> </w:t>
      </w:r>
      <w:r w:rsidR="00A707C3">
        <w:rPr>
          <w:rFonts w:ascii="Times New Roman" w:hAnsi="Times New Roman" w:cs="Times New Roman"/>
          <w:sz w:val="28"/>
          <w:szCs w:val="28"/>
        </w:rPr>
        <w:t>Кто из членов семей погибших (умерших) военнослужащих имеет право на получение компенсационных выплат в связи с расходами по оплате жилых помещений, коммунальных и других видов услуг</w:t>
      </w:r>
      <w:r w:rsidR="00D1352D">
        <w:rPr>
          <w:rFonts w:ascii="Times New Roman" w:hAnsi="Times New Roman" w:cs="Times New Roman"/>
          <w:sz w:val="28"/>
          <w:szCs w:val="28"/>
        </w:rPr>
        <w:t>?</w:t>
      </w:r>
    </w:p>
    <w:p w:rsidR="00D8794F" w:rsidRDefault="00D8794F" w:rsidP="00A30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3F9" w:rsidRDefault="00D8794F" w:rsidP="00A707C3">
      <w:pPr>
        <w:pStyle w:val="a3"/>
        <w:spacing w:after="0"/>
        <w:ind w:firstLine="709"/>
        <w:jc w:val="both"/>
        <w:rPr>
          <w:sz w:val="28"/>
          <w:szCs w:val="28"/>
        </w:rPr>
      </w:pPr>
      <w:r w:rsidRPr="00F83F12">
        <w:rPr>
          <w:sz w:val="28"/>
          <w:szCs w:val="28"/>
          <w:u w:val="single"/>
        </w:rPr>
        <w:t>Ответ:</w:t>
      </w:r>
      <w:r>
        <w:rPr>
          <w:sz w:val="28"/>
          <w:szCs w:val="28"/>
        </w:rPr>
        <w:t xml:space="preserve"> </w:t>
      </w:r>
      <w:r w:rsidR="00A707C3">
        <w:rPr>
          <w:sz w:val="28"/>
          <w:szCs w:val="28"/>
        </w:rPr>
        <w:t>В соответствии с Правилами предоставления членам семей погибших (умерших) военнослужащих и сотрудников некоторых федеральных органов исполнит</w:t>
      </w:r>
      <w:r w:rsidR="00F83F12">
        <w:rPr>
          <w:sz w:val="28"/>
          <w:szCs w:val="28"/>
        </w:rPr>
        <w:t>ельной власти компенсационных в</w:t>
      </w:r>
      <w:r w:rsidR="00A707C3">
        <w:rPr>
          <w:sz w:val="28"/>
          <w:szCs w:val="28"/>
        </w:rPr>
        <w:t>ыплат в связи с расходами по оплате жилых помещений, коммунальных и других видов услуг, утвержденных постановлением Правительства Российской Федерации от 02.08.2005 № 475, право на получение компенсационных выплат имеют следующие категории граждан:</w:t>
      </w:r>
    </w:p>
    <w:p w:rsidR="00A707C3" w:rsidRDefault="00A707C3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а)</w:t>
      </w:r>
      <w:r w:rsidR="006F4B7F">
        <w:rPr>
          <w:rFonts w:eastAsia="Times New Roman"/>
          <w:sz w:val="28"/>
          <w:szCs w:val="28"/>
          <w:lang w:eastAsia="ar-SA"/>
        </w:rPr>
        <w:t xml:space="preserve"> члены семей военнослужащих, погибших (умерших) в период прохождения военной службы, в том числе при прохождении военной службы по призыву (действительной срочной военной службы);</w:t>
      </w:r>
    </w:p>
    <w:p w:rsidR="006F4B7F" w:rsidRDefault="006F4B7F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б) члены семей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службы которых составляет 20 лет и более;</w:t>
      </w:r>
    </w:p>
    <w:p w:rsidR="006F4B7F" w:rsidRDefault="006F4B7F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в) члены семей сотрудников федеральных органов налоговой полиции, погибших (умерших) вследствие ранения, контузии, увечья или заболевания, связанных с исполнением служебных обязанностей;</w:t>
      </w:r>
    </w:p>
    <w:p w:rsidR="006F4B7F" w:rsidRDefault="006F4B7F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г) члены семей сотрудников органов внутренних дел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органах внутренних дел;</w:t>
      </w:r>
    </w:p>
    <w:p w:rsidR="006F4B7F" w:rsidRDefault="006F4B7F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д) члены семей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</w:t>
      </w:r>
      <w:r>
        <w:rPr>
          <w:rFonts w:eastAsia="Times New Roman"/>
          <w:sz w:val="28"/>
          <w:szCs w:val="28"/>
          <w:lang w:eastAsia="ar-SA"/>
        </w:rPr>
        <w:lastRenderedPageBreak/>
        <w:t>органов Российской Федерации, погибших (умерших)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органах.</w:t>
      </w:r>
    </w:p>
    <w:p w:rsidR="006F4B7F" w:rsidRDefault="006F4B7F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К членам семей </w:t>
      </w:r>
      <w:r w:rsidR="00C45821">
        <w:rPr>
          <w:rFonts w:eastAsia="Times New Roman"/>
          <w:sz w:val="28"/>
          <w:szCs w:val="28"/>
          <w:lang w:eastAsia="ar-SA"/>
        </w:rPr>
        <w:t>погибших (умерших) военнослужащих относятся:</w:t>
      </w:r>
    </w:p>
    <w:p w:rsidR="00C45821" w:rsidRDefault="00C45821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а) вдовы (вдовцы), за исключением вступивших в новый брак;</w:t>
      </w:r>
    </w:p>
    <w:p w:rsidR="00C45821" w:rsidRDefault="00C45821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б) несовершеннолетние дети;</w:t>
      </w:r>
    </w:p>
    <w:p w:rsidR="00C45821" w:rsidRDefault="00C45821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в) дети старше 18 лет, ставшие инвалидами до достижения ими возраста 18 лет;</w:t>
      </w:r>
    </w:p>
    <w:p w:rsidR="00C45821" w:rsidRDefault="00C45821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г) дети в возрасте до 23 лет, обучающиеся в организациях, осуществляющих образовательную деятельность, по очной форме;</w:t>
      </w:r>
    </w:p>
    <w:p w:rsidR="00C45821" w:rsidRDefault="00C45821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д) граждане, находившиеся на иждивении погибшего (умершего) военнослужащего.</w:t>
      </w:r>
    </w:p>
    <w:p w:rsidR="00C45821" w:rsidRPr="00B113F9" w:rsidRDefault="00C45821" w:rsidP="00A707C3">
      <w:pPr>
        <w:pStyle w:val="a3"/>
        <w:spacing w:after="0"/>
        <w:ind w:firstLine="709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Право члена семьи погибшего (умершего) военнослужащего на получение компенсационных выплат подтверждается справкой по форме на основании данных личного дела погибшего (умершего) военнослужащего или иных документов, определяющих состав его семьи.</w:t>
      </w:r>
      <w:r w:rsidR="00F2215D">
        <w:rPr>
          <w:rFonts w:eastAsia="Times New Roman"/>
          <w:sz w:val="28"/>
          <w:szCs w:val="28"/>
          <w:lang w:eastAsia="ar-SA"/>
        </w:rPr>
        <w:t xml:space="preserve"> </w:t>
      </w:r>
      <w:r>
        <w:rPr>
          <w:rFonts w:eastAsia="Times New Roman"/>
          <w:sz w:val="28"/>
          <w:szCs w:val="28"/>
          <w:lang w:eastAsia="ar-SA"/>
        </w:rPr>
        <w:t>Справки оформляет и выдает упол</w:t>
      </w:r>
      <w:r w:rsidR="00F2215D">
        <w:rPr>
          <w:rFonts w:eastAsia="Times New Roman"/>
          <w:sz w:val="28"/>
          <w:szCs w:val="28"/>
          <w:lang w:eastAsia="ar-SA"/>
        </w:rPr>
        <w:t>номоченный орган федерального органа исполнительной власти (федерального государственного органа), в котором погибший (умерший) военнослужащий проходил службу по последнему месту службы либо состоял на пенсионном обеспечении.</w:t>
      </w:r>
    </w:p>
    <w:p w:rsidR="00B113F9" w:rsidRPr="00B113F9" w:rsidRDefault="00B113F9" w:rsidP="008C02F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получения </w:t>
      </w:r>
      <w:r w:rsidR="00F2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подробной 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F2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оформления компенсационных выплат членам семей погибших (умерших) военнослужащих </w:t>
      </w:r>
      <w:r w:rsidR="008C0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</w:t>
      </w:r>
      <w:r w:rsidR="008C02FC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щаться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УСЗН Белокалитвинского района (ул.</w:t>
      </w:r>
      <w:r w:rsidR="00F8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>Энгельса, 25, каб</w:t>
      </w:r>
      <w:r w:rsidR="00F83F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инет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F221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1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C0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794F" w:rsidRPr="00D8794F" w:rsidRDefault="00D8794F" w:rsidP="00B113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8794F" w:rsidRPr="00D8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4F"/>
    <w:rsid w:val="003833E9"/>
    <w:rsid w:val="006F4B7F"/>
    <w:rsid w:val="007E519B"/>
    <w:rsid w:val="008C02FC"/>
    <w:rsid w:val="00993391"/>
    <w:rsid w:val="00A17BC9"/>
    <w:rsid w:val="00A30D49"/>
    <w:rsid w:val="00A707C3"/>
    <w:rsid w:val="00AC0866"/>
    <w:rsid w:val="00B113F9"/>
    <w:rsid w:val="00C45821"/>
    <w:rsid w:val="00D1352D"/>
    <w:rsid w:val="00D8794F"/>
    <w:rsid w:val="00F2215D"/>
    <w:rsid w:val="00F8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03BEC-2FF9-4776-8374-84F8E37B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3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user35</cp:lastModifiedBy>
  <cp:revision>5</cp:revision>
  <cp:lastPrinted>2017-01-23T06:50:00Z</cp:lastPrinted>
  <dcterms:created xsi:type="dcterms:W3CDTF">2018-04-23T09:36:00Z</dcterms:created>
  <dcterms:modified xsi:type="dcterms:W3CDTF">2018-04-27T08:44:00Z</dcterms:modified>
</cp:coreProperties>
</file>