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71" w:rsidRPr="00353171" w:rsidRDefault="00353171" w:rsidP="00353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171">
        <w:rPr>
          <w:rFonts w:ascii="Times New Roman" w:eastAsia="Calibri" w:hAnsi="Times New Roman" w:cs="Times New Roman"/>
          <w:b/>
          <w:sz w:val="28"/>
          <w:szCs w:val="28"/>
        </w:rPr>
        <w:t>ОБОБЩЕННАЯ ИНФОРМАЦИЯ</w:t>
      </w:r>
    </w:p>
    <w:p w:rsidR="00353171" w:rsidRPr="00353171" w:rsidRDefault="00353171" w:rsidP="00353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171">
        <w:rPr>
          <w:rFonts w:ascii="Times New Roman" w:eastAsia="Calibri" w:hAnsi="Times New Roman" w:cs="Times New Roman"/>
          <w:b/>
          <w:sz w:val="28"/>
          <w:szCs w:val="28"/>
        </w:rPr>
        <w:t>о работе Администрации Белокалитвинского района</w:t>
      </w:r>
    </w:p>
    <w:p w:rsidR="00353171" w:rsidRPr="00353171" w:rsidRDefault="00353171" w:rsidP="00353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171">
        <w:rPr>
          <w:rFonts w:ascii="Times New Roman" w:eastAsia="Calibri" w:hAnsi="Times New Roman" w:cs="Times New Roman"/>
          <w:b/>
          <w:sz w:val="28"/>
          <w:szCs w:val="28"/>
        </w:rPr>
        <w:t>с обращениями граждан (физических лиц),</w:t>
      </w:r>
    </w:p>
    <w:p w:rsidR="00353171" w:rsidRPr="00353171" w:rsidRDefault="00353171" w:rsidP="00353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171">
        <w:rPr>
          <w:rFonts w:ascii="Times New Roman" w:eastAsia="Calibri" w:hAnsi="Times New Roman" w:cs="Times New Roman"/>
          <w:b/>
          <w:sz w:val="28"/>
          <w:szCs w:val="28"/>
        </w:rPr>
        <w:t>организаций (юридических лиц), общественных объединений, государственных органов, органов местного самоуправления</w:t>
      </w:r>
    </w:p>
    <w:p w:rsidR="00353171" w:rsidRPr="00353171" w:rsidRDefault="00353171" w:rsidP="00353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171">
        <w:rPr>
          <w:rFonts w:ascii="Times New Roman" w:eastAsia="Calibri" w:hAnsi="Times New Roman" w:cs="Times New Roman"/>
          <w:b/>
          <w:sz w:val="28"/>
          <w:szCs w:val="28"/>
        </w:rPr>
        <w:t>(обзоры обращений), результаты рассмотрения этих обращений и принятые меры за 2020 год</w:t>
      </w:r>
    </w:p>
    <w:p w:rsidR="00353171" w:rsidRDefault="00353171" w:rsidP="000A353A">
      <w:pPr>
        <w:shd w:val="clear" w:color="auto" w:fill="FFFFFF"/>
        <w:spacing w:after="0" w:line="276" w:lineRule="atLeast"/>
        <w:ind w:left="-567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0CEF" w:rsidRPr="00722CB3" w:rsidRDefault="00250CEF" w:rsidP="000A353A">
      <w:pPr>
        <w:shd w:val="clear" w:color="auto" w:fill="FFFFFF"/>
        <w:spacing w:after="0" w:line="276" w:lineRule="atLeast"/>
        <w:ind w:left="-567"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обращениями граждан является важнейшим элементом комплексной работы органов местного самоуправления, направленной на формирование условий для реализации принципа открытости власти.</w:t>
      </w:r>
    </w:p>
    <w:p w:rsidR="00250CEF" w:rsidRDefault="00250CEF" w:rsidP="000A353A">
      <w:pPr>
        <w:spacing w:after="0" w:line="240" w:lineRule="auto"/>
        <w:ind w:left="-426" w:right="-1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в Администрацию Белокалитвинского района поступило </w:t>
      </w:r>
      <w:r w:rsidR="00595BE7">
        <w:rPr>
          <w:rFonts w:ascii="Times New Roman" w:eastAsia="Times New Roman" w:hAnsi="Times New Roman" w:cs="Times New Roman"/>
          <w:sz w:val="28"/>
          <w:szCs w:val="28"/>
          <w:lang w:eastAsia="ru-RU"/>
        </w:rPr>
        <w:t>1198</w:t>
      </w:r>
      <w:r w:rsidRPr="002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</w:t>
      </w:r>
      <w:r w:rsidR="00595B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устн</w:t>
      </w:r>
      <w:r w:rsidR="00595BE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5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за аналогичный период прошлого года обращений было </w:t>
      </w:r>
      <w:r w:rsidR="00595BE7">
        <w:rPr>
          <w:rFonts w:ascii="Times New Roman" w:eastAsia="Times New Roman" w:hAnsi="Times New Roman" w:cs="Times New Roman"/>
          <w:sz w:val="28"/>
          <w:szCs w:val="28"/>
          <w:lang w:eastAsia="ru-RU"/>
        </w:rPr>
        <w:t>1150</w:t>
      </w:r>
      <w:r w:rsidRPr="00250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656" w:rsidRPr="00C01E1B" w:rsidRDefault="00741656" w:rsidP="000A353A">
      <w:pPr>
        <w:shd w:val="clear" w:color="auto" w:fill="FFFFFF"/>
        <w:spacing w:after="0" w:line="240" w:lineRule="auto"/>
        <w:ind w:left="-426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обращения граждан в органы местного самоуправления поступают не только в традиционно бумажной форме, но и в форме электронных обращений</w:t>
      </w:r>
      <w:r w:rsidR="00F35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Электронный формат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удобен для жителей, поскольку обращение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направить, не выходя из дома, достаточно обладать минимальными навыками работы на компьютере</w:t>
      </w:r>
      <w:r w:rsidR="00E5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</w:t>
      </w:r>
      <w:r w:rsidR="00E5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 такое обращение на сайт не требует</w:t>
      </w:r>
      <w:r w:rsidR="00E5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почтовых расходов и выездов </w:t>
      </w:r>
      <w:r w:rsidR="00E5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 пунктов </w:t>
      </w:r>
      <w:r w:rsidR="00E55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поселений 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район. Именно эти удобства и способствуют тому, что электронные обращения постепенно вытесняют письменные обращения граждан, в 2020 году поступило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</w:t>
      </w:r>
      <w:r w:rsidR="00AC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C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="00AC3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2019-77)</w:t>
      </w:r>
      <w:r w:rsidRPr="00C0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656" w:rsidRDefault="004B7C71" w:rsidP="000A353A">
      <w:pPr>
        <w:spacing w:after="0" w:line="240" w:lineRule="auto"/>
        <w:ind w:left="-426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района направляют свои обращения не только в Администрацию Белокалитвинского района, но и в другие органы власти.</w:t>
      </w:r>
    </w:p>
    <w:p w:rsidR="004B7C71" w:rsidRDefault="00E559EA" w:rsidP="000A353A">
      <w:pPr>
        <w:spacing w:after="0" w:line="240" w:lineRule="auto"/>
        <w:ind w:left="-426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от граждан</w:t>
      </w:r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Администрации Белокалитвинского </w:t>
      </w:r>
      <w:proofErr w:type="gramStart"/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8F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proofErr w:type="gramEnd"/>
      <w:r w:rsidR="008F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="00D76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-</w:t>
      </w:r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обращений</w:t>
      </w:r>
      <w:r w:rsidR="00D76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2019 году- 649</w:t>
      </w:r>
      <w:r w:rsidR="004B7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CEF" w:rsidRPr="00E559EA" w:rsidRDefault="00250CEF" w:rsidP="00E559EA">
      <w:pPr>
        <w:shd w:val="clear" w:color="auto" w:fill="FFFFFF"/>
        <w:spacing w:after="0" w:line="276" w:lineRule="atLeast"/>
        <w:rPr>
          <w:rFonts w:ascii="Times New Roman" w:hAnsi="Times New Roman" w:cs="Times New Roman"/>
          <w:color w:val="000000"/>
          <w:sz w:val="4"/>
          <w:szCs w:val="4"/>
          <w:shd w:val="clear" w:color="auto" w:fill="FFFFFF"/>
        </w:rPr>
      </w:pPr>
    </w:p>
    <w:tbl>
      <w:tblPr>
        <w:tblpPr w:leftFromText="180" w:rightFromText="180" w:vertAnchor="text" w:horzAnchor="page" w:tblpX="1231" w:tblpY="65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281"/>
        <w:gridCol w:w="1327"/>
        <w:gridCol w:w="1525"/>
        <w:gridCol w:w="2112"/>
      </w:tblGrid>
      <w:tr w:rsidR="004F1DE7" w:rsidRPr="00250CEF" w:rsidTr="00B22E46">
        <w:trPr>
          <w:trHeight w:val="6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№№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4F1DE7" w:rsidRPr="00250CEF" w:rsidRDefault="004F1DE7" w:rsidP="004F1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вышестоящих органов власти, других организаций</w:t>
            </w:r>
          </w:p>
        </w:tc>
        <w:tc>
          <w:tcPr>
            <w:tcW w:w="47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период</w:t>
            </w:r>
          </w:p>
        </w:tc>
      </w:tr>
      <w:tr w:rsidR="004F1DE7" w:rsidRPr="00250CEF" w:rsidTr="00B22E46">
        <w:trPr>
          <w:trHeight w:val="74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 г.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уменьш., </w:t>
            </w:r>
            <w:proofErr w:type="spellStart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</w:t>
            </w:r>
            <w:proofErr w:type="spellEnd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(ед.) </w:t>
            </w:r>
          </w:p>
        </w:tc>
      </w:tr>
      <w:tr w:rsidR="004F1DE7" w:rsidRPr="00250CEF" w:rsidTr="00B22E46">
        <w:trPr>
          <w:trHeight w:val="3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РО, </w:t>
            </w:r>
          </w:p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направлено из Управления </w:t>
            </w:r>
          </w:p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Президента РФ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F1DE7" w:rsidRPr="00250CEF" w:rsidTr="00B22E46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Депутаты всех уровней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381FE5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381FE5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F1DE7" w:rsidRPr="00250CEF" w:rsidTr="00B22E4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Белокалитвинская</w:t>
            </w:r>
            <w:proofErr w:type="spellEnd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городская </w:t>
            </w:r>
          </w:p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  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381FE5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F1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F1DE7"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4F1DE7" w:rsidRPr="00250CEF" w:rsidTr="00B22E4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Ростовской области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</w:tr>
      <w:tr w:rsidR="004F1DE7" w:rsidRPr="00250CEF" w:rsidTr="00B22E4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Госжилинспекция</w:t>
            </w:r>
            <w:proofErr w:type="spellEnd"/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B7C71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B7C71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B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F1DE7" w:rsidRPr="00250CEF" w:rsidTr="00B22E4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4F1DE7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722CB3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2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8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DE7" w:rsidRPr="00250CEF" w:rsidRDefault="004F1DE7" w:rsidP="00722CB3">
            <w:pPr>
              <w:spacing w:after="0" w:line="240" w:lineRule="auto"/>
              <w:ind w:left="-5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722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E559EA" w:rsidRDefault="00E559EA" w:rsidP="00722CB3">
      <w:pPr>
        <w:pStyle w:val="a3"/>
        <w:shd w:val="clear" w:color="auto" w:fill="FFFFFF"/>
        <w:spacing w:before="0" w:beforeAutospacing="0" w:after="0" w:afterAutospacing="0"/>
        <w:ind w:left="-426" w:right="-568" w:firstLine="426"/>
        <w:textAlignment w:val="baseline"/>
        <w:rPr>
          <w:color w:val="000000"/>
          <w:sz w:val="28"/>
          <w:szCs w:val="28"/>
        </w:rPr>
      </w:pPr>
    </w:p>
    <w:p w:rsidR="004F1DE7" w:rsidRPr="004F1DE7" w:rsidRDefault="004F1DE7" w:rsidP="00E559EA">
      <w:pPr>
        <w:pStyle w:val="a3"/>
        <w:shd w:val="clear" w:color="auto" w:fill="FFFFFF"/>
        <w:spacing w:before="0" w:beforeAutospacing="0" w:after="0" w:afterAutospacing="0"/>
        <w:ind w:left="-426" w:right="-1" w:firstLine="426"/>
        <w:jc w:val="both"/>
        <w:textAlignment w:val="baseline"/>
        <w:rPr>
          <w:color w:val="000000"/>
          <w:sz w:val="28"/>
          <w:szCs w:val="28"/>
        </w:rPr>
      </w:pPr>
      <w:r w:rsidRPr="004F1DE7">
        <w:rPr>
          <w:color w:val="000000"/>
          <w:sz w:val="28"/>
          <w:szCs w:val="28"/>
        </w:rPr>
        <w:lastRenderedPageBreak/>
        <w:t>Обращение гражданина в вышестоящие органы власти, как правило, является следствием неудовлетворительного ответа на жалобу или заявление</w:t>
      </w:r>
      <w:r w:rsidR="00CD2270">
        <w:rPr>
          <w:color w:val="000000"/>
          <w:sz w:val="28"/>
          <w:szCs w:val="28"/>
        </w:rPr>
        <w:t xml:space="preserve">, </w:t>
      </w:r>
      <w:r w:rsidRPr="004F1DE7">
        <w:rPr>
          <w:color w:val="000000"/>
          <w:sz w:val="28"/>
          <w:szCs w:val="28"/>
        </w:rPr>
        <w:t>однако имеет место так называемая «</w:t>
      </w:r>
      <w:hyperlink r:id="rId4" w:tooltip="Веер" w:history="1">
        <w:r w:rsidRPr="004F1DE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веерная</w:t>
        </w:r>
      </w:hyperlink>
      <w:r w:rsidR="00E559EA">
        <w:rPr>
          <w:color w:val="000000"/>
          <w:sz w:val="28"/>
          <w:szCs w:val="28"/>
        </w:rPr>
        <w:t xml:space="preserve"> </w:t>
      </w:r>
      <w:r w:rsidRPr="004F1DE7">
        <w:rPr>
          <w:color w:val="000000"/>
          <w:sz w:val="28"/>
          <w:szCs w:val="28"/>
        </w:rPr>
        <w:t>рассылка», когда гражданин</w:t>
      </w:r>
      <w:r w:rsidR="00E559EA">
        <w:rPr>
          <w:color w:val="000000"/>
          <w:sz w:val="28"/>
          <w:szCs w:val="28"/>
        </w:rPr>
        <w:t>,</w:t>
      </w:r>
      <w:r w:rsidRPr="004F1DE7">
        <w:rPr>
          <w:color w:val="000000"/>
          <w:sz w:val="28"/>
          <w:szCs w:val="28"/>
        </w:rPr>
        <w:t xml:space="preserve"> минуя органы местного самоуправления, направляет обращение в ряд вышестоящих органов исполнительной в</w:t>
      </w:r>
      <w:r w:rsidR="00E559EA">
        <w:rPr>
          <w:color w:val="000000"/>
          <w:sz w:val="28"/>
          <w:szCs w:val="28"/>
        </w:rPr>
        <w:t xml:space="preserve">ласти, таких как, Правительства </w:t>
      </w:r>
      <w:hyperlink r:id="rId5" w:tooltip="Самарская обл." w:history="1">
        <w:r w:rsidRPr="004B7C7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Ростовской</w:t>
        </w:r>
      </w:hyperlink>
      <w:r w:rsidRPr="004B7C71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области</w:t>
      </w:r>
      <w:r w:rsidRPr="004F1DE7">
        <w:rPr>
          <w:color w:val="000000"/>
          <w:sz w:val="28"/>
          <w:szCs w:val="28"/>
        </w:rPr>
        <w:t>, Президенту Российской Федерации. Показатель обращений жителей района в вышестоящие органы увеличился по сравнению с предыдущим годом</w:t>
      </w:r>
      <w:r w:rsidR="00722CB3">
        <w:rPr>
          <w:color w:val="000000"/>
          <w:sz w:val="28"/>
          <w:szCs w:val="28"/>
        </w:rPr>
        <w:t xml:space="preserve"> на 63</w:t>
      </w:r>
      <w:r w:rsidRPr="004F1DE7">
        <w:rPr>
          <w:color w:val="000000"/>
          <w:sz w:val="28"/>
          <w:szCs w:val="28"/>
        </w:rPr>
        <w:t>.</w:t>
      </w:r>
    </w:p>
    <w:p w:rsidR="00652B55" w:rsidRDefault="00652B55" w:rsidP="00E559EA">
      <w:pPr>
        <w:shd w:val="clear" w:color="auto" w:fill="FFFFFF"/>
        <w:spacing w:after="0" w:line="276" w:lineRule="atLeast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структура обращений граждан 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4C83" w:rsidRPr="00B74C83">
        <w:rPr>
          <w:rFonts w:ascii="Times New Roman" w:hAnsi="Times New Roman" w:cs="Times New Roman"/>
          <w:color w:val="000000"/>
          <w:sz w:val="28"/>
          <w:szCs w:val="28"/>
        </w:rPr>
        <w:t>в соответствии с классификатором</w:t>
      </w:r>
      <w:r w:rsidR="00B74C83">
        <w:rPr>
          <w:color w:val="000000"/>
        </w:rPr>
        <w:t>)</w:t>
      </w:r>
      <w:r w:rsidR="00B7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остается стабильной и значительных изменений по сравнению с отчетным периодом 2019 </w:t>
      </w:r>
      <w:proofErr w:type="gramStart"/>
      <w:r w:rsidRP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 не</w:t>
      </w:r>
      <w:proofErr w:type="gramEnd"/>
      <w:r w:rsidRPr="0072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имеет.</w:t>
      </w:r>
    </w:p>
    <w:p w:rsidR="00E559EA" w:rsidRPr="00E559EA" w:rsidRDefault="00E559EA" w:rsidP="00E559EA">
      <w:pPr>
        <w:shd w:val="clear" w:color="auto" w:fill="FFFFFF"/>
        <w:spacing w:after="0" w:line="276" w:lineRule="atLeast"/>
        <w:ind w:left="-426" w:firstLine="709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956" w:type="dxa"/>
        <w:tblInd w:w="-4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1971"/>
        <w:gridCol w:w="1910"/>
        <w:gridCol w:w="2045"/>
      </w:tblGrid>
      <w:tr w:rsidR="00C402EC" w:rsidRPr="00C402EC" w:rsidTr="00E559EA">
        <w:trPr>
          <w:trHeight w:val="325"/>
        </w:trPr>
        <w:tc>
          <w:tcPr>
            <w:tcW w:w="4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36" w:right="-7" w:firstLine="2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2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right="364" w:hanging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</w:t>
            </w:r>
          </w:p>
        </w:tc>
      </w:tr>
      <w:tr w:rsidR="00C402EC" w:rsidRPr="00C402EC" w:rsidTr="00E559EA">
        <w:trPr>
          <w:trHeight w:val="340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Жилищно-коммунальная сфера</w:t>
            </w:r>
            <w:r w:rsidRPr="00C4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02EC" w:rsidRPr="00C402EC" w:rsidTr="00E559EA">
        <w:trPr>
          <w:trHeight w:val="325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Pr="00C4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+9</w:t>
            </w:r>
          </w:p>
        </w:tc>
      </w:tr>
      <w:tr w:rsidR="00C402EC" w:rsidRPr="00C402EC" w:rsidTr="00E559EA">
        <w:trPr>
          <w:trHeight w:val="340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  <w:r w:rsidRPr="00C4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+2</w:t>
            </w: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402EC" w:rsidRPr="00C402EC" w:rsidTr="00E559EA">
        <w:trPr>
          <w:trHeight w:val="325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Государство, общество, политика</w:t>
            </w:r>
            <w:r w:rsidRPr="00C4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402EC" w:rsidRPr="00C402EC" w:rsidTr="00E559EA">
        <w:trPr>
          <w:trHeight w:val="340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E559EA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Оборона, безопасность,</w:t>
            </w:r>
            <w:r w:rsidR="00E55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0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законность</w:t>
            </w:r>
            <w:r w:rsidRPr="00C40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C402EC" w:rsidRPr="00C402EC" w:rsidTr="00E559EA">
        <w:trPr>
          <w:trHeight w:val="325"/>
        </w:trPr>
        <w:tc>
          <w:tcPr>
            <w:tcW w:w="4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  <w:r w:rsidRPr="00C40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02EC" w:rsidRPr="00C402EC" w:rsidRDefault="00C402EC" w:rsidP="00C402EC">
            <w:pPr>
              <w:spacing w:after="0" w:line="240" w:lineRule="auto"/>
              <w:ind w:left="-570" w:right="270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402EC" w:rsidRPr="00C402EC" w:rsidRDefault="00C402EC" w:rsidP="00722CB3">
            <w:pPr>
              <w:spacing w:after="0" w:line="240" w:lineRule="auto"/>
              <w:ind w:left="-570" w:right="364" w:firstLine="5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+8</w:t>
            </w:r>
          </w:p>
        </w:tc>
      </w:tr>
    </w:tbl>
    <w:p w:rsidR="00C402EC" w:rsidRPr="002C673C" w:rsidRDefault="00C402EC" w:rsidP="00652B55">
      <w:pPr>
        <w:shd w:val="clear" w:color="auto" w:fill="FFFFFF"/>
        <w:spacing w:after="0" w:line="276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</w:p>
    <w:p w:rsidR="009E583A" w:rsidRPr="00722CB3" w:rsidRDefault="00E559EA" w:rsidP="008468A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тематического </w:t>
      </w:r>
      <w:r w:rsidR="009E583A" w:rsidRPr="00722CB3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="009E583A" w:rsidRPr="00722CB3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 на</w:t>
      </w:r>
      <w:r w:rsidR="009E583A" w:rsidRPr="00722CB3">
        <w:rPr>
          <w:sz w:val="28"/>
          <w:szCs w:val="28"/>
        </w:rPr>
        <w:t xml:space="preserve"> рост обращений по проблемам социальной сферы. В структуре обращений социального характера доминируют вопросы</w:t>
      </w:r>
      <w:r w:rsidR="001D0212">
        <w:rPr>
          <w:sz w:val="28"/>
          <w:szCs w:val="28"/>
        </w:rPr>
        <w:t xml:space="preserve"> об </w:t>
      </w:r>
      <w:r w:rsidR="006840D3" w:rsidRPr="00722CB3">
        <w:rPr>
          <w:sz w:val="28"/>
          <w:szCs w:val="28"/>
        </w:rPr>
        <w:t>оказани</w:t>
      </w:r>
      <w:r w:rsidR="001D0212">
        <w:rPr>
          <w:sz w:val="28"/>
          <w:szCs w:val="28"/>
        </w:rPr>
        <w:t>и</w:t>
      </w:r>
      <w:r w:rsidR="006840D3" w:rsidRPr="00722CB3">
        <w:rPr>
          <w:sz w:val="28"/>
          <w:szCs w:val="28"/>
        </w:rPr>
        <w:t xml:space="preserve"> материальной помощи гражданам</w:t>
      </w:r>
      <w:r w:rsidR="001D0212">
        <w:rPr>
          <w:sz w:val="28"/>
          <w:szCs w:val="28"/>
        </w:rPr>
        <w:t>,</w:t>
      </w:r>
      <w:r w:rsidR="006840D3" w:rsidRPr="00722CB3">
        <w:rPr>
          <w:sz w:val="28"/>
          <w:szCs w:val="28"/>
        </w:rPr>
        <w:t xml:space="preserve"> попавшим </w:t>
      </w:r>
      <w:proofErr w:type="gramStart"/>
      <w:r w:rsidR="006840D3" w:rsidRPr="00722CB3">
        <w:rPr>
          <w:sz w:val="28"/>
          <w:szCs w:val="28"/>
        </w:rPr>
        <w:t>в  экстремальные</w:t>
      </w:r>
      <w:proofErr w:type="gramEnd"/>
      <w:r w:rsidR="006840D3" w:rsidRPr="00722CB3">
        <w:rPr>
          <w:sz w:val="28"/>
          <w:szCs w:val="28"/>
        </w:rPr>
        <w:t xml:space="preserve"> ситуации, оказани</w:t>
      </w:r>
      <w:r w:rsidR="001D0212">
        <w:rPr>
          <w:sz w:val="28"/>
          <w:szCs w:val="28"/>
        </w:rPr>
        <w:t>и</w:t>
      </w:r>
      <w:r w:rsidR="006840D3" w:rsidRPr="00722CB3">
        <w:rPr>
          <w:sz w:val="28"/>
          <w:szCs w:val="28"/>
        </w:rPr>
        <w:t xml:space="preserve"> помощи в приобретении лекарственных препаратов.</w:t>
      </w:r>
    </w:p>
    <w:p w:rsidR="009E583A" w:rsidRPr="00722CB3" w:rsidRDefault="009E583A" w:rsidP="008468A0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22CB3">
        <w:rPr>
          <w:sz w:val="28"/>
          <w:szCs w:val="28"/>
        </w:rPr>
        <w:t>Увеличилось количество обращений, касающихся отсутстви</w:t>
      </w:r>
      <w:r w:rsidR="001D0212">
        <w:rPr>
          <w:sz w:val="28"/>
          <w:szCs w:val="28"/>
        </w:rPr>
        <w:t>я</w:t>
      </w:r>
      <w:r w:rsidRPr="00722CB3">
        <w:rPr>
          <w:sz w:val="28"/>
          <w:szCs w:val="28"/>
        </w:rPr>
        <w:t xml:space="preserve"> или задержк</w:t>
      </w:r>
      <w:r w:rsidR="001D0212">
        <w:rPr>
          <w:sz w:val="28"/>
          <w:szCs w:val="28"/>
        </w:rPr>
        <w:t>и</w:t>
      </w:r>
      <w:r w:rsidRPr="00722CB3">
        <w:rPr>
          <w:sz w:val="28"/>
          <w:szCs w:val="28"/>
        </w:rPr>
        <w:t xml:space="preserve"> выплат детск</w:t>
      </w:r>
      <w:r w:rsidR="001D0212">
        <w:rPr>
          <w:sz w:val="28"/>
          <w:szCs w:val="28"/>
        </w:rPr>
        <w:t xml:space="preserve">их </w:t>
      </w:r>
      <w:r w:rsidRPr="00722CB3">
        <w:rPr>
          <w:sz w:val="28"/>
          <w:szCs w:val="28"/>
        </w:rPr>
        <w:t>пособи</w:t>
      </w:r>
      <w:r w:rsidR="001D0212">
        <w:rPr>
          <w:sz w:val="28"/>
          <w:szCs w:val="28"/>
        </w:rPr>
        <w:t>и</w:t>
      </w:r>
      <w:r w:rsidRPr="00722CB3">
        <w:rPr>
          <w:sz w:val="28"/>
          <w:szCs w:val="28"/>
        </w:rPr>
        <w:t>.</w:t>
      </w:r>
    </w:p>
    <w:p w:rsidR="001D0212" w:rsidRDefault="001D0212" w:rsidP="001D021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По-прежнему, актуальны проблемные вопросы, касающиеся</w:t>
      </w:r>
      <w:r w:rsidR="009E583A" w:rsidRPr="00722CB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9E583A" w:rsidRPr="00722CB3">
        <w:rPr>
          <w:sz w:val="28"/>
          <w:szCs w:val="28"/>
        </w:rPr>
        <w:t xml:space="preserve"> медицинских учреждений</w:t>
      </w:r>
      <w:r>
        <w:rPr>
          <w:sz w:val="28"/>
          <w:szCs w:val="28"/>
        </w:rPr>
        <w:t>: г</w:t>
      </w:r>
      <w:r w:rsidR="009E583A" w:rsidRPr="00722CB3">
        <w:rPr>
          <w:sz w:val="28"/>
          <w:szCs w:val="28"/>
        </w:rPr>
        <w:t xml:space="preserve">раждане сообщали о недостатках при оказании медицинской помощи, просили содействия в реализации своих прав на охрану здоровья и медицинскую помощь. В соответствии со сложившейся эпидемиологической обстановкой, увеличилось количество обращений, связанных с </w:t>
      </w:r>
      <w:r>
        <w:rPr>
          <w:sz w:val="28"/>
          <w:szCs w:val="28"/>
        </w:rPr>
        <w:t xml:space="preserve">лечением и профилактикой </w:t>
      </w:r>
      <w:proofErr w:type="spellStart"/>
      <w:r w:rsidR="009E583A" w:rsidRPr="00722CB3">
        <w:rPr>
          <w:sz w:val="28"/>
          <w:szCs w:val="28"/>
        </w:rPr>
        <w:t>коронавирусной</w:t>
      </w:r>
      <w:proofErr w:type="spellEnd"/>
      <w:r w:rsidR="009E583A" w:rsidRPr="00722CB3">
        <w:rPr>
          <w:sz w:val="28"/>
          <w:szCs w:val="28"/>
        </w:rPr>
        <w:t xml:space="preserve"> инфекцией.</w:t>
      </w:r>
    </w:p>
    <w:p w:rsidR="001D0212" w:rsidRDefault="001D0212" w:rsidP="001D021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 году в</w:t>
      </w:r>
      <w:r w:rsidR="009E583A" w:rsidRPr="00722CB3">
        <w:rPr>
          <w:sz w:val="28"/>
          <w:szCs w:val="28"/>
        </w:rPr>
        <w:t xml:space="preserve"> жилищно-коммунальной сфере преоблада</w:t>
      </w:r>
      <w:r>
        <w:rPr>
          <w:sz w:val="28"/>
          <w:szCs w:val="28"/>
        </w:rPr>
        <w:t>ли</w:t>
      </w:r>
      <w:r w:rsidR="009E583A" w:rsidRPr="00722CB3">
        <w:rPr>
          <w:sz w:val="28"/>
          <w:szCs w:val="28"/>
        </w:rPr>
        <w:t xml:space="preserve"> жалобы граждан относительно текущего содержания жилого фонда, организации и проведения капитального ремонта жилых домов и квартир. Продолжали поступать жалобы на работу управляющих компаний. Из них значительная часть обращений </w:t>
      </w:r>
      <w:r>
        <w:rPr>
          <w:sz w:val="28"/>
          <w:szCs w:val="28"/>
        </w:rPr>
        <w:t>относилась</w:t>
      </w:r>
      <w:r w:rsidR="009E583A" w:rsidRPr="00722CB3">
        <w:rPr>
          <w:sz w:val="28"/>
          <w:szCs w:val="28"/>
        </w:rPr>
        <w:t xml:space="preserve"> проблем, связанных с порядком начисления оплаты за потребленные услуги ЖКХ.</w:t>
      </w:r>
      <w:r>
        <w:rPr>
          <w:sz w:val="28"/>
          <w:szCs w:val="28"/>
        </w:rPr>
        <w:t xml:space="preserve"> </w:t>
      </w:r>
    </w:p>
    <w:p w:rsidR="00EF385A" w:rsidRDefault="001D0212" w:rsidP="00EF38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жителей интересны темы</w:t>
      </w:r>
      <w:r w:rsidR="009E583A" w:rsidRPr="00722CB3">
        <w:rPr>
          <w:sz w:val="28"/>
          <w:szCs w:val="28"/>
        </w:rPr>
        <w:t xml:space="preserve"> благоустройства</w:t>
      </w:r>
      <w:r w:rsidR="00EF385A">
        <w:rPr>
          <w:sz w:val="28"/>
          <w:szCs w:val="28"/>
        </w:rPr>
        <w:t xml:space="preserve"> территорий городских и сельских поселений</w:t>
      </w:r>
      <w:r w:rsidR="009E583A" w:rsidRPr="00722CB3">
        <w:rPr>
          <w:sz w:val="28"/>
          <w:szCs w:val="28"/>
        </w:rPr>
        <w:t xml:space="preserve">, </w:t>
      </w:r>
      <w:r w:rsidR="00EF385A">
        <w:rPr>
          <w:sz w:val="28"/>
          <w:szCs w:val="28"/>
        </w:rPr>
        <w:t>повышения комфортности</w:t>
      </w:r>
      <w:r w:rsidR="009E583A" w:rsidRPr="00722CB3">
        <w:rPr>
          <w:sz w:val="28"/>
          <w:szCs w:val="28"/>
        </w:rPr>
        <w:t xml:space="preserve"> придомовых территорий. В центре внимания граждан оставались проблемы, связанные с неудовлетворительным состоянием и содержанием дорог внутри населенных пунктов, дорог, связывающих населенные пункты, отдельных участков областных дорог. Имели место жалобы на работу общественного транспорта</w:t>
      </w:r>
      <w:r w:rsidR="00EF385A">
        <w:rPr>
          <w:sz w:val="28"/>
          <w:szCs w:val="28"/>
        </w:rPr>
        <w:t xml:space="preserve">, в том числе </w:t>
      </w:r>
      <w:r w:rsidR="00AC3EE7">
        <w:rPr>
          <w:sz w:val="28"/>
          <w:szCs w:val="28"/>
        </w:rPr>
        <w:t>вызванные</w:t>
      </w:r>
      <w:r w:rsidR="00EF385A">
        <w:rPr>
          <w:sz w:val="28"/>
          <w:szCs w:val="28"/>
        </w:rPr>
        <w:t xml:space="preserve"> с изменением графика движения</w:t>
      </w:r>
      <w:r w:rsidR="009E583A" w:rsidRPr="00722CB3">
        <w:rPr>
          <w:sz w:val="28"/>
          <w:szCs w:val="28"/>
        </w:rPr>
        <w:t>.</w:t>
      </w:r>
    </w:p>
    <w:p w:rsidR="00EF385A" w:rsidRDefault="009E583A" w:rsidP="00EF38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22CB3">
        <w:rPr>
          <w:sz w:val="28"/>
          <w:szCs w:val="28"/>
        </w:rPr>
        <w:lastRenderedPageBreak/>
        <w:t>Не сократилось количество обращений по вопросу предоставления земельных участков льготным категориям граждан. Заявители выражают отрицательное отношение к тому, что к выделенным земельным участкам нет подъезда, отсутствует возможность подключения</w:t>
      </w:r>
      <w:r w:rsidR="00EF385A">
        <w:rPr>
          <w:sz w:val="28"/>
          <w:szCs w:val="28"/>
        </w:rPr>
        <w:t xml:space="preserve"> </w:t>
      </w:r>
      <w:r w:rsidRPr="00722CB3">
        <w:rPr>
          <w:sz w:val="28"/>
          <w:szCs w:val="28"/>
        </w:rPr>
        <w:t>к системе электро</w:t>
      </w:r>
      <w:r w:rsidR="00EF385A">
        <w:rPr>
          <w:sz w:val="28"/>
          <w:szCs w:val="28"/>
        </w:rPr>
        <w:t>-</w:t>
      </w:r>
      <w:r w:rsidRPr="00722CB3">
        <w:rPr>
          <w:sz w:val="28"/>
          <w:szCs w:val="28"/>
        </w:rPr>
        <w:t xml:space="preserve"> и водоснабжения.</w:t>
      </w:r>
      <w:r w:rsidR="00EF385A">
        <w:rPr>
          <w:sz w:val="28"/>
          <w:szCs w:val="28"/>
        </w:rPr>
        <w:t xml:space="preserve"> </w:t>
      </w:r>
    </w:p>
    <w:p w:rsidR="00D76E34" w:rsidRDefault="00B51D6A" w:rsidP="00B74C8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468A0" w:rsidRPr="00376AC3">
        <w:rPr>
          <w:sz w:val="28"/>
          <w:szCs w:val="28"/>
        </w:rPr>
        <w:t xml:space="preserve">ля обеспечения прав граждан </w:t>
      </w:r>
      <w:proofErr w:type="gramStart"/>
      <w:r w:rsidR="008468A0" w:rsidRPr="00376AC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личное</w:t>
      </w:r>
      <w:proofErr w:type="gramEnd"/>
      <w:r>
        <w:rPr>
          <w:sz w:val="28"/>
          <w:szCs w:val="28"/>
        </w:rPr>
        <w:t xml:space="preserve"> </w:t>
      </w:r>
      <w:r w:rsidR="008468A0" w:rsidRPr="00376AC3">
        <w:rPr>
          <w:sz w:val="28"/>
          <w:szCs w:val="28"/>
        </w:rPr>
        <w:t>обращение в органы местного самоуправления</w:t>
      </w:r>
      <w:r>
        <w:rPr>
          <w:sz w:val="28"/>
          <w:szCs w:val="28"/>
        </w:rPr>
        <w:t xml:space="preserve"> в условиях </w:t>
      </w:r>
      <w:r w:rsidR="003C2AAC">
        <w:rPr>
          <w:sz w:val="28"/>
          <w:szCs w:val="28"/>
        </w:rPr>
        <w:t xml:space="preserve">введения </w:t>
      </w:r>
      <w:r>
        <w:rPr>
          <w:sz w:val="28"/>
          <w:szCs w:val="28"/>
        </w:rPr>
        <w:t>повышенной готовности, в целях</w:t>
      </w:r>
      <w:r w:rsidRPr="00B51D6A">
        <w:rPr>
          <w:sz w:val="28"/>
          <w:szCs w:val="28"/>
        </w:rPr>
        <w:t xml:space="preserve"> </w:t>
      </w:r>
      <w:r w:rsidRPr="00376AC3">
        <w:rPr>
          <w:sz w:val="28"/>
          <w:szCs w:val="28"/>
        </w:rPr>
        <w:t>противодействия распространени</w:t>
      </w:r>
      <w:r>
        <w:rPr>
          <w:sz w:val="28"/>
          <w:szCs w:val="28"/>
        </w:rPr>
        <w:t xml:space="preserve">ю  </w:t>
      </w:r>
      <w:proofErr w:type="spellStart"/>
      <w:r w:rsidRPr="00376AC3">
        <w:rPr>
          <w:sz w:val="28"/>
          <w:szCs w:val="28"/>
        </w:rPr>
        <w:t>коронавирусной</w:t>
      </w:r>
      <w:proofErr w:type="spellEnd"/>
      <w:r w:rsidRPr="00376AC3">
        <w:rPr>
          <w:sz w:val="28"/>
          <w:szCs w:val="28"/>
        </w:rPr>
        <w:t xml:space="preserve"> инфекции</w:t>
      </w:r>
      <w:r w:rsidR="00E0512B">
        <w:rPr>
          <w:sz w:val="28"/>
          <w:szCs w:val="28"/>
        </w:rPr>
        <w:t xml:space="preserve"> и в связи с невозможностью  личного обращения граждан в органы местного самоуправления,</w:t>
      </w:r>
      <w:r w:rsidR="008468A0" w:rsidRPr="00376AC3">
        <w:rPr>
          <w:sz w:val="28"/>
          <w:szCs w:val="28"/>
        </w:rPr>
        <w:t xml:space="preserve"> </w:t>
      </w:r>
      <w:r w:rsidR="00376AC3" w:rsidRPr="00376AC3">
        <w:rPr>
          <w:sz w:val="28"/>
          <w:szCs w:val="28"/>
        </w:rPr>
        <w:t xml:space="preserve">главой </w:t>
      </w:r>
      <w:r w:rsidR="008468A0" w:rsidRPr="00376AC3">
        <w:rPr>
          <w:sz w:val="28"/>
          <w:szCs w:val="28"/>
        </w:rPr>
        <w:t>Администрацией Белокалитвинского района было принято решени</w:t>
      </w:r>
      <w:r w:rsidR="00505E5F">
        <w:rPr>
          <w:sz w:val="28"/>
          <w:szCs w:val="28"/>
        </w:rPr>
        <w:t>е</w:t>
      </w:r>
      <w:r w:rsidR="008468A0" w:rsidRPr="00376AC3">
        <w:rPr>
          <w:sz w:val="28"/>
          <w:szCs w:val="28"/>
        </w:rPr>
        <w:t xml:space="preserve"> о применении дистанционного формата работы с гражданами.</w:t>
      </w:r>
      <w:r w:rsidR="00376AC3" w:rsidRPr="00376AC3">
        <w:rPr>
          <w:sz w:val="28"/>
          <w:szCs w:val="28"/>
        </w:rPr>
        <w:t xml:space="preserve"> В 2020 году граждане имели возможность общения с главой Администрации района и заместителями главы Администр</w:t>
      </w:r>
      <w:r w:rsidR="00EF385A">
        <w:rPr>
          <w:sz w:val="28"/>
          <w:szCs w:val="28"/>
        </w:rPr>
        <w:t>ации района в телефонном режиме</w:t>
      </w:r>
      <w:r w:rsidR="00AC3EE7">
        <w:rPr>
          <w:sz w:val="28"/>
          <w:szCs w:val="28"/>
        </w:rPr>
        <w:t xml:space="preserve"> и режиме интерактивного приема.</w:t>
      </w:r>
    </w:p>
    <w:p w:rsidR="00880FF0" w:rsidRDefault="00D76E34" w:rsidP="00B74C8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</w:t>
      </w:r>
      <w:proofErr w:type="gramStart"/>
      <w:r>
        <w:rPr>
          <w:sz w:val="28"/>
          <w:szCs w:val="28"/>
        </w:rPr>
        <w:t>проведении</w:t>
      </w:r>
      <w:r w:rsidR="005D1615">
        <w:rPr>
          <w:sz w:val="28"/>
          <w:szCs w:val="28"/>
        </w:rPr>
        <w:t xml:space="preserve"> </w:t>
      </w:r>
      <w:r w:rsidR="00761325">
        <w:rPr>
          <w:sz w:val="28"/>
          <w:szCs w:val="28"/>
        </w:rPr>
        <w:t xml:space="preserve"> времени</w:t>
      </w:r>
      <w:proofErr w:type="gramEnd"/>
      <w:r w:rsidR="00761325">
        <w:rPr>
          <w:sz w:val="28"/>
          <w:szCs w:val="28"/>
        </w:rPr>
        <w:t xml:space="preserve"> </w:t>
      </w:r>
      <w:r w:rsidR="005D1615">
        <w:rPr>
          <w:sz w:val="28"/>
          <w:szCs w:val="28"/>
        </w:rPr>
        <w:t>приемов размещалась на сайте Администрации Белокалитвинского района и в средствах массовой информации  газете «Перекресток».</w:t>
      </w:r>
      <w:r w:rsidR="00376AC3" w:rsidRPr="00376AC3">
        <w:rPr>
          <w:sz w:val="28"/>
          <w:szCs w:val="28"/>
        </w:rPr>
        <w:t xml:space="preserve"> </w:t>
      </w:r>
      <w:r w:rsidR="00A114C4">
        <w:rPr>
          <w:sz w:val="28"/>
          <w:szCs w:val="28"/>
        </w:rPr>
        <w:t xml:space="preserve">В 2020 году в данных мероприятиях приняли участие 198 </w:t>
      </w:r>
      <w:r w:rsidR="00BD4A75">
        <w:rPr>
          <w:sz w:val="28"/>
          <w:szCs w:val="28"/>
        </w:rPr>
        <w:t>жителей Белокалитвинского района</w:t>
      </w:r>
      <w:r w:rsidR="00A114C4">
        <w:rPr>
          <w:sz w:val="28"/>
          <w:szCs w:val="28"/>
        </w:rPr>
        <w:t>.</w:t>
      </w:r>
    </w:p>
    <w:p w:rsidR="005D1615" w:rsidRDefault="00761325" w:rsidP="00EF38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приемы проведены</w:t>
      </w:r>
      <w:r w:rsidR="005D1615">
        <w:rPr>
          <w:sz w:val="28"/>
          <w:szCs w:val="28"/>
        </w:rPr>
        <w:t xml:space="preserve"> главами администраций поселений Белокалитвинского </w:t>
      </w:r>
      <w:proofErr w:type="gramStart"/>
      <w:r w:rsidR="005D1615">
        <w:rPr>
          <w:sz w:val="28"/>
          <w:szCs w:val="28"/>
        </w:rPr>
        <w:t xml:space="preserve">района  </w:t>
      </w:r>
      <w:r>
        <w:rPr>
          <w:sz w:val="28"/>
          <w:szCs w:val="28"/>
        </w:rPr>
        <w:t>-</w:t>
      </w:r>
      <w:proofErr w:type="gramEnd"/>
      <w:r w:rsidR="00505E5F">
        <w:rPr>
          <w:sz w:val="28"/>
          <w:szCs w:val="28"/>
        </w:rPr>
        <w:t xml:space="preserve"> на которые </w:t>
      </w:r>
      <w:r w:rsidR="00E0512B">
        <w:rPr>
          <w:sz w:val="28"/>
          <w:szCs w:val="28"/>
        </w:rPr>
        <w:t>обратилось 59 человек.</w:t>
      </w:r>
    </w:p>
    <w:p w:rsidR="00E0512B" w:rsidRDefault="00CD2270" w:rsidP="00E0512B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Жителей района</w:t>
      </w:r>
      <w:r w:rsidR="00E0512B">
        <w:rPr>
          <w:sz w:val="28"/>
          <w:szCs w:val="28"/>
        </w:rPr>
        <w:t xml:space="preserve"> интересовали вопросы переселения из ветхого и аварийного жилья, оказания материальной помощи, лечения и оказания медицинской помощи, строительства и ремонта дорог и др.</w:t>
      </w:r>
    </w:p>
    <w:p w:rsidR="00AD48D1" w:rsidRDefault="00AD48D1" w:rsidP="00353171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sz w:val="28"/>
          <w:szCs w:val="28"/>
        </w:rPr>
      </w:pPr>
      <w:r w:rsidRPr="00AD48D1">
        <w:rPr>
          <w:sz w:val="28"/>
          <w:szCs w:val="28"/>
        </w:rPr>
        <w:t xml:space="preserve">Средний показатель активности жителей Белокалитвинского района, воспользовавшихся правом на обращение, на тысячу населения за 2020 года составил </w:t>
      </w:r>
      <w:r w:rsidR="006A23D0">
        <w:rPr>
          <w:sz w:val="28"/>
          <w:szCs w:val="28"/>
        </w:rPr>
        <w:t>13</w:t>
      </w:r>
      <w:r w:rsidRPr="00AD48D1">
        <w:rPr>
          <w:sz w:val="28"/>
          <w:szCs w:val="28"/>
        </w:rPr>
        <w:t xml:space="preserve">.4. </w:t>
      </w:r>
      <w:r w:rsidR="00880FF0">
        <w:rPr>
          <w:sz w:val="28"/>
          <w:szCs w:val="28"/>
        </w:rPr>
        <w:t>П</w:t>
      </w:r>
      <w:r w:rsidRPr="00AD48D1">
        <w:rPr>
          <w:sz w:val="28"/>
          <w:szCs w:val="28"/>
        </w:rPr>
        <w:t xml:space="preserve">оказатель активности граждан в городских и сельских поселениях района </w:t>
      </w:r>
      <w:r w:rsidR="00880FF0">
        <w:rPr>
          <w:sz w:val="28"/>
          <w:szCs w:val="28"/>
        </w:rPr>
        <w:t>обуславливается общей</w:t>
      </w:r>
      <w:r w:rsidRPr="00AD48D1">
        <w:rPr>
          <w:sz w:val="28"/>
          <w:szCs w:val="28"/>
        </w:rPr>
        <w:t xml:space="preserve"> численность</w:t>
      </w:r>
      <w:r w:rsidR="00880FF0">
        <w:rPr>
          <w:sz w:val="28"/>
          <w:szCs w:val="28"/>
        </w:rPr>
        <w:t>ю</w:t>
      </w:r>
      <w:r w:rsidRPr="00AD48D1">
        <w:rPr>
          <w:sz w:val="28"/>
          <w:szCs w:val="28"/>
        </w:rPr>
        <w:t xml:space="preserve"> населения и наличие</w:t>
      </w:r>
      <w:r w:rsidR="00880FF0">
        <w:rPr>
          <w:sz w:val="28"/>
          <w:szCs w:val="28"/>
        </w:rPr>
        <w:t>м</w:t>
      </w:r>
      <w:r w:rsidRPr="00AD48D1">
        <w:rPr>
          <w:sz w:val="28"/>
          <w:szCs w:val="28"/>
        </w:rPr>
        <w:t xml:space="preserve"> территориальных вопросов.</w:t>
      </w:r>
    </w:p>
    <w:p w:rsidR="00353171" w:rsidRDefault="00353171" w:rsidP="00EF38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8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1276"/>
        <w:gridCol w:w="1259"/>
        <w:gridCol w:w="1418"/>
        <w:gridCol w:w="1417"/>
        <w:gridCol w:w="992"/>
      </w:tblGrid>
      <w:tr w:rsidR="005D3A29" w:rsidRPr="00AD48D1" w:rsidTr="00353171">
        <w:trPr>
          <w:trHeight w:val="229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поселений </w:t>
            </w:r>
          </w:p>
        </w:tc>
        <w:tc>
          <w:tcPr>
            <w:tcW w:w="25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lang w:eastAsia="ru-RU"/>
              </w:rPr>
              <w:t>Уменьшение/</w:t>
            </w:r>
          </w:p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lang w:eastAsia="ru-RU"/>
              </w:rPr>
              <w:t>увеличение</w:t>
            </w:r>
          </w:p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lang w:eastAsia="ru-RU"/>
              </w:rPr>
              <w:t>в единицах</w:t>
            </w:r>
          </w:p>
        </w:tc>
      </w:tr>
      <w:tr w:rsidR="005D3A29" w:rsidRPr="00AD48D1" w:rsidTr="00353171">
        <w:tc>
          <w:tcPr>
            <w:tcW w:w="32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D3A29" w:rsidRPr="00AD48D1" w:rsidRDefault="005D3A29" w:rsidP="005D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обращений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на 1тыс.населения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обращений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на 1тыс.населения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D3A29" w:rsidRPr="00AD48D1" w:rsidRDefault="005D3A29" w:rsidP="005D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Богураевское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Горняцкое</w:t>
            </w:r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Грушево-Дубовское 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+16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Коксовское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Краснодонецкое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Литвиновское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+8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Синегорское</w:t>
            </w:r>
            <w:proofErr w:type="spellEnd"/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D3A29" w:rsidRPr="00AD48D1" w:rsidTr="00353171"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Шолоховское</w:t>
            </w:r>
          </w:p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поселение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</w:tr>
      <w:tr w:rsidR="005D3A29" w:rsidRPr="00AD48D1" w:rsidTr="00353171">
        <w:trPr>
          <w:trHeight w:val="525"/>
        </w:trPr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Иногородние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D3A29" w:rsidRPr="00AD48D1" w:rsidTr="00353171">
        <w:trPr>
          <w:trHeight w:val="525"/>
        </w:trPr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6A23D0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3A29" w:rsidRPr="00AD48D1" w:rsidRDefault="005D3A29" w:rsidP="005D3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+48</w:t>
            </w:r>
          </w:p>
        </w:tc>
      </w:tr>
    </w:tbl>
    <w:p w:rsidR="00880FF0" w:rsidRDefault="00880FF0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0FF0" w:rsidRDefault="00AD48D1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сравнении с аналогичным периодом прошлого года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по-прежнему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остается 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высокой активность жителей Белокалитвинского городского поселения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6A23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14.8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нижение показател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активности 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 Синегорского сельского поселения (13.5), по сравнению с 2019 годом (16.1</w:t>
      </w:r>
      <w:proofErr w:type="gramStart"/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однако</w:t>
      </w:r>
      <w:proofErr w:type="gramEnd"/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несмотря на это 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выше среднего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району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(13.4)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Значительно выросла активность в Грушево-Дубовском сельском поселении: в 2019 году – </w:t>
      </w:r>
      <w:r w:rsidR="006A23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6.5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 2020 году – 1</w:t>
      </w:r>
      <w:r w:rsidR="006A23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A23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превысив районный показатель активности (</w:t>
      </w:r>
      <w:r w:rsidR="00E51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,4)</w:t>
      </w:r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частности на увеличение количества обращений повлияла «веерная рассылка</w:t>
      </w:r>
      <w:r w:rsidR="003C2A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обращений  жителей</w:t>
      </w:r>
      <w:proofErr w:type="gramEnd"/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х.Дубовой</w:t>
      </w:r>
      <w:proofErr w:type="spellEnd"/>
      <w:r w:rsidR="00B51D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вопросу не согласия в строительстве дороги </w:t>
      </w:r>
      <w:r w:rsidR="0088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0FF0" w:rsidRDefault="00880FF0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Активность граждан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Богураевском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Горняцком,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Краснодонецком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Нижнепоповском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сельск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поселени</w:t>
      </w:r>
      <w:r w:rsidR="00BD4A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сравнении с предыдущим годом увеличилась, но меньше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среднерайонного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показателя 2020 года.</w:t>
      </w:r>
    </w:p>
    <w:p w:rsidR="00E51985" w:rsidRDefault="00AD48D1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8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количества заявлений обусловлено в большей степени субъективными причинами, активностью конкретных граждан, которые несмотря на разъяснения стремятся добиться положительного решения своего вопроса, в связи с чем использовали свое право на обращение многократно.</w:t>
      </w:r>
      <w:r w:rsidR="00E519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32DA2" w:rsidRDefault="00332DA2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2DA2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</w:t>
      </w:r>
      <w:r w:rsidR="00BD4A75">
        <w:rPr>
          <w:rFonts w:ascii="Times New Roman" w:hAnsi="Times New Roman" w:cs="Times New Roman"/>
          <w:sz w:val="28"/>
          <w:szCs w:val="28"/>
        </w:rPr>
        <w:t xml:space="preserve"> при рассмотрении </w:t>
      </w:r>
      <w:proofErr w:type="gramStart"/>
      <w:r w:rsidR="00BD4A75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332DA2">
        <w:rPr>
          <w:rFonts w:ascii="Times New Roman" w:hAnsi="Times New Roman" w:cs="Times New Roman"/>
          <w:sz w:val="28"/>
          <w:szCs w:val="28"/>
        </w:rPr>
        <w:t xml:space="preserve"> принимаются</w:t>
      </w:r>
      <w:proofErr w:type="gramEnd"/>
      <w:r w:rsidR="00BD4A75">
        <w:rPr>
          <w:rFonts w:ascii="Times New Roman" w:hAnsi="Times New Roman" w:cs="Times New Roman"/>
          <w:sz w:val="28"/>
          <w:szCs w:val="28"/>
        </w:rPr>
        <w:t xml:space="preserve"> исчерпывающие </w:t>
      </w:r>
      <w:r w:rsidRPr="00332DA2">
        <w:rPr>
          <w:rFonts w:ascii="Times New Roman" w:hAnsi="Times New Roman" w:cs="Times New Roman"/>
          <w:sz w:val="28"/>
          <w:szCs w:val="28"/>
        </w:rPr>
        <w:t xml:space="preserve"> меры, направленные на достижение положительного результата.</w:t>
      </w:r>
    </w:p>
    <w:p w:rsidR="002723D6" w:rsidRDefault="00761325" w:rsidP="00880FF0">
      <w:pPr>
        <w:shd w:val="clear" w:color="auto" w:fill="FFFFFF"/>
        <w:spacing w:after="0" w:line="240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6E649B">
        <w:rPr>
          <w:rFonts w:ascii="Times New Roman" w:hAnsi="Times New Roman" w:cs="Times New Roman"/>
          <w:sz w:val="28"/>
          <w:szCs w:val="28"/>
        </w:rPr>
        <w:t xml:space="preserve"> нарушений</w:t>
      </w:r>
      <w:proofErr w:type="gramEnd"/>
      <w:r w:rsidR="006E649B">
        <w:rPr>
          <w:rFonts w:ascii="Times New Roman" w:hAnsi="Times New Roman" w:cs="Times New Roman"/>
          <w:sz w:val="28"/>
          <w:szCs w:val="28"/>
        </w:rPr>
        <w:t xml:space="preserve"> сроков рассмотрения обращений граждан </w:t>
      </w:r>
      <w:r w:rsidR="00505E5F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bookmarkStart w:id="0" w:name="_GoBack"/>
      <w:bookmarkEnd w:id="0"/>
      <w:r w:rsidR="006E649B">
        <w:rPr>
          <w:rFonts w:ascii="Times New Roman" w:hAnsi="Times New Roman" w:cs="Times New Roman"/>
          <w:sz w:val="28"/>
          <w:szCs w:val="28"/>
        </w:rPr>
        <w:t xml:space="preserve"> не допущено.</w:t>
      </w:r>
    </w:p>
    <w:p w:rsidR="00880FF0" w:rsidRDefault="00880FF0" w:rsidP="00880FF0">
      <w:pPr>
        <w:shd w:val="clear" w:color="auto" w:fill="FFFFFF"/>
        <w:spacing w:after="0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14C4" w:rsidRP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рассмотрения обращений на </w:t>
      </w:r>
      <w:r w:rsid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6A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14C4" w:rsidRP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14C4" w:rsidRP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ответы разъяснительного характера, </w:t>
      </w:r>
      <w:r w:rsid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6A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114C4" w:rsidRPr="00A1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поддержано.</w:t>
      </w:r>
    </w:p>
    <w:p w:rsidR="00571619" w:rsidRPr="00571619" w:rsidRDefault="00332DA2" w:rsidP="00880FF0">
      <w:pPr>
        <w:shd w:val="clear" w:color="auto" w:fill="FFFFFF"/>
        <w:spacing w:after="0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2723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</w:t>
      </w:r>
      <w:r w:rsidR="002723D6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27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71619"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571619"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4778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71619"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1619" w:rsidRPr="005716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71619" w:rsidRPr="00E70AF2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0FF0"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завершены строительно-монтажные работы по капитальному ремонту Дворца спорта по ул. Российская </w:t>
      </w:r>
      <w:proofErr w:type="gramStart"/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г. Белая Калитва;</w:t>
      </w:r>
    </w:p>
    <w:p w:rsidR="00BD4A75" w:rsidRPr="00E70AF2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0FF0"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ремонт дороги в х. </w:t>
      </w:r>
      <w:proofErr w:type="spellStart"/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Гусынка</w:t>
      </w:r>
      <w:proofErr w:type="spellEnd"/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Центральная</w:t>
      </w:r>
      <w:r w:rsidR="00BD4A75"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70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 ремонт дороги в г. Белая Калитва по ул. Совхозной, ул. Вахрушева, ул. Социалистической, ул. Л. Толстого;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работы по профилированию с частичной подсыпкой фалом грунтовой дороги в г. Белая Калитва по ул. Логовая;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выполнен ремонт дороги к школе в с.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Литвиновка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Белокалитвинского района;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0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работы по ямочному ремонту автомобильных дорог площадью 150м</w:t>
      </w:r>
      <w:r w:rsidRPr="005716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Шолоховский – п. Горняцкий» и площадью 120м</w:t>
      </w:r>
      <w:r w:rsidRPr="005716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«подъезд от трассы М-21 Волгоград – Каменск-Шахтинск до п.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Русичи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0FF0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программы местного развития и обеспечения занятости для шахтерских городов и поселков Администрацией района было переселено 57 семей;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семь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 в сельской местности по программе «Комплексное развитие сельских территорий»;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- 8 детей сирот обеспечены жильем;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семь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BD4A75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жилье по программе «Предоставление жилья молодым семьям»;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инвалида ВОВ были обеспечены жильем;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переселено из аварийного жилья 105 семей из 26 аварийных домов;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качества электроснабжения потребителей, проживающих по ул. Хуторская в х. </w:t>
      </w:r>
      <w:proofErr w:type="spellStart"/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Гусынка</w:t>
      </w:r>
      <w:proofErr w:type="spellEnd"/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 23 опоры, смонтирована новая линия электропередач, протяженностью 535 метров; 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завершены работы по реконструкции воздушных линий электропередач 0,4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х. Ленин;</w:t>
      </w:r>
    </w:p>
    <w:p w:rsidR="00571619" w:rsidRPr="00BD4A75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СДК х. </w:t>
      </w:r>
      <w:proofErr w:type="spellStart"/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proofErr w:type="spellEnd"/>
      <w:r w:rsidRPr="00BD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Ильинского сельского поселения произведена замена оконных блоков;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 ремонт памятника «Шахтерам Дона посвящается» в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Шолоховский;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внутренние ремонтные работы левого крыла здания МБУК Белокалитвинского района «Дворец культуры им. В.П. Чкалова»;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выделены денежные средства на приобретение новых сценических костюмов для хора ветеранов;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восстановлено освещение на очистных сооружениях канализации ТАБС-275 п. Шолоховский;</w:t>
      </w:r>
    </w:p>
    <w:p w:rsidR="00571619" w:rsidRPr="00A659F6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работы по устройству шести фонарей уличного освещения в г. Белая Калитва по ул. Калинина в районе дома № 18, установлены </w:t>
      </w:r>
      <w:r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>2 светильника по пер. Мостовой и один светильник в районе домовладения № 3 по ул. Щорса, установлен 1 светильник по ул. Геологическая д.2 г. Белая Калитва;</w:t>
      </w:r>
    </w:p>
    <w:p w:rsidR="00571619" w:rsidRPr="00A659F6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353A"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работы по выравниванию нагрузок по фазам на ВЛ-0,4 </w:t>
      </w:r>
      <w:proofErr w:type="spellStart"/>
      <w:r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A659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питающей домовладение № 18 по ул. Родниковая г. Белая Калитва;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выполнены работы по замене аварийного электрического провода на опорах линий электропередач, расположенных в п.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Ясногорка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Лобачевского в районе д. 15 и д. 17;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произведены работы по обустройству контейнерных площадок для сбора твердых коммунальных отходов в п. Ясногорска и п. Сосны;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проведена прочистка канализационных колодцев и сетей по адресу: г. Белая Калитва, ул. Дзержинского, д. 14/11;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работы по замене водопровода в п. Коксовый по ул. Свердлова;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произведены работы по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кронированию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 в с. </w:t>
      </w:r>
      <w:proofErr w:type="spellStart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Литвиновка</w:t>
      </w:r>
      <w:proofErr w:type="spellEnd"/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Центральной;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работы по покосу газонов по ул. Коммунистической г. Белая Калитва;</w:t>
      </w:r>
    </w:p>
    <w:p w:rsidR="00571619" w:rsidRPr="00571619" w:rsidRDefault="00571619" w:rsidP="00880FF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 отлов агрессивных безнадзорных собак в г. Белая Калитва;</w:t>
      </w:r>
    </w:p>
    <w:p w:rsidR="0041328E" w:rsidRPr="00C328EB" w:rsidRDefault="00571619" w:rsidP="00C328EB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оказана социальная и материальная помощь гражданам, попавшим в трудные жизненные ситуации.</w:t>
      </w:r>
    </w:p>
    <w:p w:rsidR="00C328EB" w:rsidRPr="00C328EB" w:rsidRDefault="00974839" w:rsidP="00C328EB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с обращениями граждан </w:t>
      </w:r>
      <w:r w:rsidR="00C328EB" w:rsidRPr="00C32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повышение социальной стабильности общества, обеспечения прозрачности деятельности органов местной власти, создания</w:t>
      </w:r>
      <w:r w:rsidR="00C32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8EB" w:rsidRPr="00C32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механизмов установления «обратной связи», позволяющих</w:t>
      </w:r>
      <w:r w:rsidR="00C32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8EB" w:rsidRPr="00C32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мнение жителей района по наиболее актуальным вопросам.</w:t>
      </w:r>
    </w:p>
    <w:p w:rsidR="00AD48D1" w:rsidRPr="00974839" w:rsidRDefault="00974839" w:rsidP="00880FF0">
      <w:pPr>
        <w:shd w:val="clear" w:color="auto" w:fill="FFFFFF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Отрадно, что граждане не остаются безучастными к жизни района.</w:t>
      </w:r>
    </w:p>
    <w:sectPr w:rsidR="00AD48D1" w:rsidRPr="0097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A353A"/>
    <w:rsid w:val="000A4BF2"/>
    <w:rsid w:val="00165DFB"/>
    <w:rsid w:val="001D0212"/>
    <w:rsid w:val="00250CEF"/>
    <w:rsid w:val="002723D6"/>
    <w:rsid w:val="002A6ADB"/>
    <w:rsid w:val="002B46A5"/>
    <w:rsid w:val="00332DA2"/>
    <w:rsid w:val="00353171"/>
    <w:rsid w:val="00376AC3"/>
    <w:rsid w:val="00381FE5"/>
    <w:rsid w:val="003C2AAC"/>
    <w:rsid w:val="0041328E"/>
    <w:rsid w:val="00426AC1"/>
    <w:rsid w:val="0047783D"/>
    <w:rsid w:val="004B7C71"/>
    <w:rsid w:val="004F1DE7"/>
    <w:rsid w:val="00505E5F"/>
    <w:rsid w:val="00532F90"/>
    <w:rsid w:val="00571619"/>
    <w:rsid w:val="00595BE7"/>
    <w:rsid w:val="005D1615"/>
    <w:rsid w:val="005D3A29"/>
    <w:rsid w:val="00652B55"/>
    <w:rsid w:val="006840D3"/>
    <w:rsid w:val="006A23D0"/>
    <w:rsid w:val="006A7673"/>
    <w:rsid w:val="006E649B"/>
    <w:rsid w:val="00722CB3"/>
    <w:rsid w:val="00741656"/>
    <w:rsid w:val="00761325"/>
    <w:rsid w:val="007A28C5"/>
    <w:rsid w:val="008468A0"/>
    <w:rsid w:val="00880FF0"/>
    <w:rsid w:val="008F51A7"/>
    <w:rsid w:val="00974839"/>
    <w:rsid w:val="009C4F32"/>
    <w:rsid w:val="009E583A"/>
    <w:rsid w:val="00A114C4"/>
    <w:rsid w:val="00A659F6"/>
    <w:rsid w:val="00AC3EE7"/>
    <w:rsid w:val="00AD48D1"/>
    <w:rsid w:val="00B1082D"/>
    <w:rsid w:val="00B14243"/>
    <w:rsid w:val="00B22E46"/>
    <w:rsid w:val="00B51D6A"/>
    <w:rsid w:val="00B74C83"/>
    <w:rsid w:val="00BD4A75"/>
    <w:rsid w:val="00C01E1B"/>
    <w:rsid w:val="00C328EB"/>
    <w:rsid w:val="00C402EC"/>
    <w:rsid w:val="00C537D7"/>
    <w:rsid w:val="00CB186B"/>
    <w:rsid w:val="00CD2270"/>
    <w:rsid w:val="00D76E34"/>
    <w:rsid w:val="00E0512B"/>
    <w:rsid w:val="00E51985"/>
    <w:rsid w:val="00E559EA"/>
    <w:rsid w:val="00E70AF2"/>
    <w:rsid w:val="00EF385A"/>
    <w:rsid w:val="00F075BA"/>
    <w:rsid w:val="00F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365C8-9717-4854-BD65-CF78FED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8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amarskaya_obl_/" TargetMode="External"/><Relationship Id="rId4" Type="http://schemas.openxmlformats.org/officeDocument/2006/relationships/hyperlink" Target="https://pandia.ru/text/category/ve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Наталья Белова</cp:lastModifiedBy>
  <cp:revision>2</cp:revision>
  <cp:lastPrinted>2021-01-19T10:01:00Z</cp:lastPrinted>
  <dcterms:created xsi:type="dcterms:W3CDTF">2021-01-19T12:01:00Z</dcterms:created>
  <dcterms:modified xsi:type="dcterms:W3CDTF">2021-01-19T12:01:00Z</dcterms:modified>
</cp:coreProperties>
</file>