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W w:w="6403" w:type="dxa"/>
        <w:tblInd w:w="3717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403"/>
      </w:tblGrid>
      <w:tr w:rsidR="007C546E" w:rsidTr="00083A05">
        <w:tc>
          <w:tcPr>
            <w:tcW w:w="6403" w:type="dxa"/>
            <w:shd w:val="clear" w:color="auto" w:fill="auto"/>
          </w:tcPr>
          <w:p w:rsidR="007C546E" w:rsidRDefault="007C54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C546E" w:rsidRDefault="007C546E" w:rsidP="00083A0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7C546E" w:rsidRDefault="005033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I. Экономическое развитие</w:t>
      </w:r>
    </w:p>
    <w:p w:rsidR="007C546E" w:rsidRDefault="007C546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546E" w:rsidRDefault="005033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Показатель 1. Число субъектов малого и среднего предпринимательства.  </w:t>
      </w:r>
    </w:p>
    <w:p w:rsidR="007C546E" w:rsidRDefault="005033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расчете на 10 тыс. жителей района количество субъектов малого и среднего предпринимательства составило в 2014 году - 344,63, в 2015 году - 352,53 единиц. Рост субъектов малого и средн</w:t>
      </w:r>
      <w:r>
        <w:rPr>
          <w:rFonts w:ascii="Times New Roman" w:hAnsi="Times New Roman" w:cs="Times New Roman"/>
          <w:sz w:val="28"/>
          <w:szCs w:val="28"/>
        </w:rPr>
        <w:t>его предпринимательства связан с активизацией предпринимательской деятельности по причине улучшения налогового климата и развития различных форм поддержки предпринимательства в рамках реализации подпрограммы «Развитие субъектов малого и среднего предприним</w:t>
      </w:r>
      <w:r>
        <w:rPr>
          <w:rFonts w:ascii="Times New Roman" w:hAnsi="Times New Roman" w:cs="Times New Roman"/>
          <w:sz w:val="28"/>
          <w:szCs w:val="28"/>
        </w:rPr>
        <w:t>ательства в Белокалитвинском районе» муниципальной  программы «Экономическое развитие и инновационная экономика».</w:t>
      </w:r>
    </w:p>
    <w:p w:rsidR="007C546E" w:rsidRDefault="0050337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прогнозируемом периоде ожидается сохранение тенденции роста числа субъектов малого и среднего предпринимательства: в 2016 году - 354,96 един</w:t>
      </w:r>
      <w:r>
        <w:rPr>
          <w:rFonts w:ascii="Times New Roman" w:hAnsi="Times New Roman" w:cs="Times New Roman"/>
          <w:sz w:val="28"/>
          <w:szCs w:val="28"/>
        </w:rPr>
        <w:t>иц в расчете на 10 тыс.жителей района, 2017 - 359,00 и 2018 - 362,00 за счет продолжения реализации муниципальной программы, а также софинансирования мероприятий, направленных на поддержку и развитие предпринимательства, из средств областного и федеральног</w:t>
      </w:r>
      <w:r>
        <w:rPr>
          <w:rFonts w:ascii="Times New Roman" w:hAnsi="Times New Roman" w:cs="Times New Roman"/>
          <w:sz w:val="28"/>
          <w:szCs w:val="28"/>
        </w:rPr>
        <w:t>о бюджета.</w:t>
      </w:r>
    </w:p>
    <w:p w:rsidR="007C546E" w:rsidRDefault="007C546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7C546E" w:rsidRDefault="005033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Показатель 2. 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546E" w:rsidRDefault="005033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2015 году доля среднесписо</w:t>
      </w:r>
      <w:r>
        <w:rPr>
          <w:rFonts w:ascii="Times New Roman" w:hAnsi="Times New Roman" w:cs="Times New Roman"/>
          <w:sz w:val="28"/>
          <w:szCs w:val="28"/>
        </w:rPr>
        <w:t>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 Белокалитвинского района уменьшилась на 1,4 процентных пункта и составил</w:t>
      </w:r>
      <w:r>
        <w:rPr>
          <w:rFonts w:ascii="Times New Roman" w:hAnsi="Times New Roman" w:cs="Times New Roman"/>
          <w:sz w:val="28"/>
          <w:szCs w:val="28"/>
        </w:rPr>
        <w:t>а 22,30%. Данная ситуация обусловлена превышением сокращения численности работников малого сектора бизнеса в отчетном периоде над темпами аналогичного процесса по кругу крупных и средних организаций в связи со сложной экономической ситуацией и оптимизацией</w:t>
      </w:r>
      <w:r>
        <w:rPr>
          <w:rFonts w:ascii="Times New Roman" w:hAnsi="Times New Roman" w:cs="Times New Roman"/>
          <w:sz w:val="28"/>
          <w:szCs w:val="28"/>
        </w:rPr>
        <w:t xml:space="preserve"> расходов субъектов малого предпринимательства.</w:t>
      </w:r>
    </w:p>
    <w:p w:rsidR="007C546E" w:rsidRDefault="005033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2016 году ожидается значение данного показателя на уровне 22,40%.</w:t>
      </w:r>
    </w:p>
    <w:p w:rsidR="007C546E" w:rsidRDefault="0050337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2017-2018 годах прогнозируется незначительное ежегодное увеличение данного показателя на 0,10 процентных пункта в связи с сохранением </w:t>
      </w:r>
      <w:r>
        <w:rPr>
          <w:rFonts w:ascii="Times New Roman" w:hAnsi="Times New Roman" w:cs="Times New Roman"/>
          <w:sz w:val="28"/>
          <w:szCs w:val="28"/>
        </w:rPr>
        <w:t>динамики превышения темпов роста численности работников малых и средних предприятий над темпом роста численности работников всех предприятий и организаций района.</w:t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7C546E" w:rsidRDefault="007C546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C546E" w:rsidRDefault="0050337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Показатель 3. Объем инвестиций в основной капитал (за исключением бюджетных средств) в расч</w:t>
      </w:r>
      <w:r>
        <w:rPr>
          <w:rFonts w:ascii="Times New Roman" w:hAnsi="Times New Roman" w:cs="Times New Roman"/>
          <w:b/>
          <w:sz w:val="28"/>
          <w:szCs w:val="28"/>
        </w:rPr>
        <w:t>ете на 1 жителя.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7C546E" w:rsidRDefault="0050337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 2014 году объем инвестиций в основной капитал в расчете на 1 жителя сложился в сумме 11862,08 рублей. В 2015 году показатель увеличился на 49,43% и составил 17726,06 рублей. </w:t>
      </w:r>
    </w:p>
    <w:p w:rsidR="007C546E" w:rsidRDefault="0050337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Рост значения показателя обусловлен увеличением объема инвес</w:t>
      </w:r>
      <w:r>
        <w:rPr>
          <w:rFonts w:ascii="Times New Roman" w:hAnsi="Times New Roman" w:cs="Times New Roman"/>
          <w:bCs/>
          <w:sz w:val="28"/>
          <w:szCs w:val="28"/>
        </w:rPr>
        <w:t xml:space="preserve">тиций в ООО «ШУ «Садкинское», направленных на монтаж и запуск лавы, приобретение </w:t>
      </w:r>
      <w:r>
        <w:rPr>
          <w:rFonts w:ascii="Times New Roman" w:hAnsi="Times New Roman" w:cs="Times New Roman"/>
          <w:bCs/>
          <w:sz w:val="28"/>
          <w:szCs w:val="28"/>
        </w:rPr>
        <w:lastRenderedPageBreak/>
        <w:t>оборудования и строительство обогатительной фабрики, а также реализацией проекта «Установка печи предварительного нагрева слябов перед прокаткой» в АО «Алюминий Металлург Рус»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7C546E" w:rsidRDefault="0050337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  <w:t>В 2016 году завершится инвестиционный проект «Установка линии обработки тонкого листа» АО «Алюминий Металлург Рус», продолжится строительство обогатительной фабрики ООО «ШУ «Садкинское». Объем инвестиций в основной капитал в расчете на 1 жителя прогнози</w:t>
      </w:r>
      <w:r>
        <w:rPr>
          <w:rFonts w:ascii="Times New Roman" w:hAnsi="Times New Roman" w:cs="Times New Roman"/>
          <w:bCs/>
          <w:sz w:val="28"/>
          <w:szCs w:val="28"/>
        </w:rPr>
        <w:t xml:space="preserve">руется на уровне 22020,77 рублей. </w:t>
      </w:r>
    </w:p>
    <w:p w:rsidR="007C546E" w:rsidRDefault="0050337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  <w:t>В 2017 году прогнозируется увеличение значения данного показателя до 22239,70 рублей. ООО «ШУ «Садкинское» продолжит приобретение и монтаж горного оборудования и завершит строительство обогатительной фабрики.  АО «Алюмин</w:t>
      </w:r>
      <w:r>
        <w:rPr>
          <w:rFonts w:ascii="Times New Roman" w:hAnsi="Times New Roman" w:cs="Times New Roman"/>
          <w:bCs/>
          <w:sz w:val="28"/>
          <w:szCs w:val="28"/>
        </w:rPr>
        <w:t xml:space="preserve">ий Металлург Рус» планирует осуществление модернизации производства. </w:t>
      </w:r>
    </w:p>
    <w:p w:rsidR="007C546E" w:rsidRDefault="0050337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  <w:t>В 2018 году ООО «ШУ «Садкинское» направит инвестиции на приобретение очистного оборудования и модернизацию подземной транспортной цепочки. Предприятия металлургического сектора экономик</w:t>
      </w:r>
      <w:r>
        <w:rPr>
          <w:rFonts w:ascii="Times New Roman" w:hAnsi="Times New Roman" w:cs="Times New Roman"/>
          <w:bCs/>
          <w:sz w:val="28"/>
          <w:szCs w:val="28"/>
        </w:rPr>
        <w:t xml:space="preserve">и предполагают направить средства на обновление оборудования. Объем инвестиций в основной капитал в расчете на 1 жителя по прогнозу увеличится до 22448,41 рублей. </w:t>
      </w:r>
    </w:p>
    <w:p w:rsidR="007C546E" w:rsidRDefault="007C546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C546E" w:rsidRDefault="005033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Показатель 4. Доля площади земельных участков, являющихся объектами налогообложения земельн</w:t>
      </w:r>
      <w:r>
        <w:rPr>
          <w:rFonts w:ascii="Times New Roman" w:hAnsi="Times New Roman" w:cs="Times New Roman"/>
          <w:b/>
          <w:bCs/>
          <w:sz w:val="28"/>
          <w:szCs w:val="28"/>
        </w:rPr>
        <w:t>ым налогом, в общей площади территории городского округа (муниципального района).</w:t>
      </w:r>
    </w:p>
    <w:p w:rsidR="007C546E" w:rsidRDefault="0050337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итогам 2015 года 99,00% площади земельных участков являются объектами налогообложения (в 2014 году - 98,90%). К 2018 году данный показатель будет доведен до 100%.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7C546E" w:rsidRDefault="007C546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C546E" w:rsidRDefault="005033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Показатель 5. Доля прибыльных сельскохозяйственных организаций в общем их числе.</w:t>
      </w:r>
    </w:p>
    <w:p w:rsidR="007C546E" w:rsidRDefault="005033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Доля прибыльных сельскохозяйственных организаций в 2015 году увеличилась на 12,83 процентных пункта и составила 92% в связи с получением валового сбора зерновых и зернобобовых</w:t>
      </w:r>
      <w:r>
        <w:rPr>
          <w:rFonts w:ascii="Times New Roman" w:hAnsi="Times New Roman" w:cs="Times New Roman"/>
          <w:sz w:val="28"/>
          <w:szCs w:val="28"/>
        </w:rPr>
        <w:t xml:space="preserve"> культур на 2% выше уровня 2014 года и увеличения цены на зерно. Два предприятия получили убытки: ОАО «Птицефабрика Белокалитвинская», ООО «Березовка». В 2016 году ожидается увеличение числа прибыльных предприятий на одну единицу (ООО «Березовка планирует </w:t>
      </w:r>
      <w:r>
        <w:rPr>
          <w:rFonts w:ascii="Times New Roman" w:hAnsi="Times New Roman" w:cs="Times New Roman"/>
          <w:sz w:val="28"/>
          <w:szCs w:val="28"/>
        </w:rPr>
        <w:t xml:space="preserve">в 2016 году получить прибыль), доля прибыльных сельскохозяйственных организаций составит 96%. </w:t>
      </w:r>
    </w:p>
    <w:p w:rsidR="007C546E" w:rsidRDefault="0050337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2018 году доля прибыльных предприятий составит 100% в результате принимаемых мер по выведению ОАО «Птицефабрика Белокалитвинская» на рентабельный уровень работ</w:t>
      </w:r>
      <w:r>
        <w:rPr>
          <w:rFonts w:ascii="Times New Roman" w:hAnsi="Times New Roman" w:cs="Times New Roman"/>
          <w:sz w:val="28"/>
          <w:szCs w:val="28"/>
        </w:rPr>
        <w:t>ы.</w:t>
      </w:r>
    </w:p>
    <w:p w:rsidR="007C546E" w:rsidRDefault="007C546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C546E" w:rsidRDefault="005033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Показатель 6. Доля протяженности автомобильных дорог общего пользования местного значения, не отвечающих нормативным требованиям, в общей протяженности автомобильных дорог общего пользования местного значения. </w:t>
      </w:r>
    </w:p>
    <w:p w:rsidR="007C546E" w:rsidRDefault="005033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Доля автомобильных дорог общего пользован</w:t>
      </w:r>
      <w:r>
        <w:rPr>
          <w:rFonts w:ascii="Times New Roman" w:hAnsi="Times New Roman" w:cs="Times New Roman"/>
          <w:sz w:val="28"/>
          <w:szCs w:val="28"/>
        </w:rPr>
        <w:t xml:space="preserve">ия местного значения, не отвечающих нормативным требованиям, в 2015 году составила 53,03%. В отчетном году работа по ремонту, содержанию и строительству автомобильных дорог велась активно: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произведена реконструкция автомобильной дороги </w:t>
      </w:r>
      <w:r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ru-RU"/>
        </w:rPr>
        <w:t>«г. Шахты - г. Белая</w:t>
      </w:r>
      <w:r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ru-RU"/>
        </w:rPr>
        <w:lastRenderedPageBreak/>
        <w:t xml:space="preserve">Калитва» к х. Дубовой Белокалитвинского района» протяженностью 2,85 км,  построено 3 автомобильных дороги к строящимся детским садам, общей протяженностью 0,9 км и капитально отремонтировано 0,8 км подъездной  дороги по ул. Кирова к МБДОУ ДС «Теремок»  в </w:t>
      </w:r>
      <w:r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ru-RU"/>
        </w:rPr>
        <w:t>п. Сосны  Белокалитвинского района. Также в 2015 году проведена паспортизация автомобильных дорог общего пользования местного значения, в результате которой уменьшилась общая протяженность автомобильных дорог. П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оэтому по сравнению с 2014 годом данный показ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атель снизился на 5,94%. </w:t>
      </w:r>
    </w:p>
    <w:p w:rsidR="007C546E" w:rsidRDefault="0050337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2016 году планируется продолжать принимать меры по приведению автомобильных дорог общего пользования местного значения к нормативным требованиям, и довести значение данного показателя до 52,6%, в 2017 году - до 52,00%, в 2018 го</w:t>
      </w:r>
      <w:r>
        <w:rPr>
          <w:rFonts w:ascii="Times New Roman" w:hAnsi="Times New Roman" w:cs="Times New Roman"/>
          <w:sz w:val="28"/>
          <w:szCs w:val="28"/>
        </w:rPr>
        <w:t>ду - до 51,8%.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7C546E" w:rsidRDefault="007C546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C546E" w:rsidRDefault="005033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Показатель 7. Доля населения, проживающего в населенных пунктах, не имеющих регулярного автобусного и (или) железнодорожного сообщения с административным центром городского округа (муниципального района), в общей численности населения гор</w:t>
      </w:r>
      <w:r>
        <w:rPr>
          <w:rFonts w:ascii="Times New Roman" w:hAnsi="Times New Roman" w:cs="Times New Roman"/>
          <w:b/>
          <w:sz w:val="28"/>
          <w:szCs w:val="28"/>
        </w:rPr>
        <w:t>одского округа (муниципального района).</w:t>
      </w:r>
    </w:p>
    <w:p w:rsidR="007C546E" w:rsidRDefault="005033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состоянию на 1 января 2016 года на территории Белокалитвинского района расположены 15 населенных пунктов с общей численностью 784 человека, которые не имеют регулярного автобусного и (или) железнодорожного сообщен</w:t>
      </w:r>
      <w:r>
        <w:rPr>
          <w:rFonts w:ascii="Times New Roman" w:hAnsi="Times New Roman" w:cs="Times New Roman"/>
          <w:sz w:val="28"/>
          <w:szCs w:val="28"/>
        </w:rPr>
        <w:t>ия с административным центром - город Белая Калитва. В результате этого доля населения, проживающего в данных  населенных пунктах, составила 0,78%. По отношению к 2014 году показатель улучшен на 0,02 процентных пункта в связи с обеспечением пассажирским тр</w:t>
      </w:r>
      <w:r>
        <w:rPr>
          <w:rFonts w:ascii="Times New Roman" w:hAnsi="Times New Roman" w:cs="Times New Roman"/>
          <w:sz w:val="28"/>
          <w:szCs w:val="28"/>
        </w:rPr>
        <w:t>анспортом 72 жителей хутора Почтовый.</w:t>
      </w:r>
    </w:p>
    <w:p w:rsidR="007C546E" w:rsidRDefault="005033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Причины отсутствия автобусного сообщения, это: </w:t>
      </w:r>
    </w:p>
    <w:p w:rsidR="007C546E" w:rsidRDefault="005033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малая численность проживающих в населенных пунктах (от 8 человек до 90 человек), являющаяся основным фактором, влияющим на непредставление межбюджетных трансфертов на с</w:t>
      </w:r>
      <w:r>
        <w:rPr>
          <w:rFonts w:ascii="Times New Roman" w:hAnsi="Times New Roman" w:cs="Times New Roman"/>
          <w:sz w:val="28"/>
          <w:szCs w:val="28"/>
        </w:rPr>
        <w:t>троительство дорог;</w:t>
      </w:r>
    </w:p>
    <w:p w:rsidR="007C546E" w:rsidRDefault="005033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большая отдаленность от административного центра, в связи с чем движение пассажирского автотранспорта является нерентабельным, а также несоответствие отдельных автомобильных дорог нормативным требованиям по обеспечению безопасности до</w:t>
      </w:r>
      <w:r>
        <w:rPr>
          <w:rFonts w:ascii="Times New Roman" w:hAnsi="Times New Roman" w:cs="Times New Roman"/>
          <w:sz w:val="28"/>
          <w:szCs w:val="28"/>
        </w:rPr>
        <w:t>рожного движения.</w:t>
      </w:r>
    </w:p>
    <w:p w:rsidR="007C546E" w:rsidRDefault="005033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Белокалитвинского района продолжает взаимодействовать с руководителями организаций, осуществляющих пассажирские перевозки, по вопросу внесения изменений в схемы движения автотранспорта и охвата ранее не обеспеченного пассажи</w:t>
      </w:r>
      <w:r>
        <w:rPr>
          <w:rFonts w:ascii="Times New Roman" w:hAnsi="Times New Roman" w:cs="Times New Roman"/>
          <w:sz w:val="28"/>
          <w:szCs w:val="28"/>
        </w:rPr>
        <w:t>рскими перевозками населения, что позволит снизить значение  показателя в 2016 году - до 0,77%, в 2017 году - до 0,76%, в 2018 году - до 0,75%.</w:t>
      </w:r>
    </w:p>
    <w:p w:rsidR="007C546E" w:rsidRDefault="007C54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546E" w:rsidRDefault="005033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Показатель 8. Среднемесячная номинальная заработная плата работников: крупных и средних предприятий и некоммерч</w:t>
      </w:r>
      <w:r>
        <w:rPr>
          <w:rFonts w:ascii="Times New Roman" w:hAnsi="Times New Roman" w:cs="Times New Roman"/>
          <w:b/>
          <w:sz w:val="28"/>
          <w:szCs w:val="28"/>
        </w:rPr>
        <w:t>еских организаций Белокалитвинского района; муниципальных дошкольных образовательных учреждений; муниципальных общеобразовательных учреждений; муниципальных учреждений культуры и искусства; муниципальных учреждений физической культуры  и спорта.</w:t>
      </w:r>
    </w:p>
    <w:p w:rsidR="007C546E" w:rsidRDefault="005033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2015 году среднемесячная номинальная заработная плата работников крупных и средних предприятий и некоммерческих организаций Белокалитвинского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района увеличилась по сравнению с 2014 годом на </w:t>
      </w:r>
      <w:r>
        <w:rPr>
          <w:rFonts w:ascii="Times New Roman" w:hAnsi="Times New Roman" w:cs="Times New Roman"/>
          <w:sz w:val="28"/>
          <w:szCs w:val="28"/>
        </w:rPr>
        <w:t>5,60% и составила 21133,60</w:t>
      </w:r>
      <w:r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:rsidR="007C546E" w:rsidRDefault="005033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Рост среднемесячной номинальной заработной платы работников обусловлен доведением минимального размера оплаты труда до величины прожиточного минимума трудоспособного населения в Ростовской области на предприятиях внебюджетной сферы. На 2016-2018 годы прогн</w:t>
      </w:r>
      <w:r>
        <w:rPr>
          <w:rFonts w:ascii="Times New Roman" w:hAnsi="Times New Roman" w:cs="Times New Roman"/>
          <w:sz w:val="28"/>
          <w:szCs w:val="28"/>
        </w:rPr>
        <w:t xml:space="preserve">озируется увеличение среднемесячной заработной платы и доведение её к 2018 году до 25315 рублей. </w:t>
      </w:r>
    </w:p>
    <w:p w:rsidR="007C546E" w:rsidRDefault="0050337A">
      <w:pPr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В 2015 году среднемесячная начисленная заработная плата работников муниципальных дошкольных образовательных учреждений составила 13468,60 рублей и увеличилас</w:t>
      </w:r>
      <w:r>
        <w:rPr>
          <w:rFonts w:ascii="Times New Roman" w:hAnsi="Times New Roman" w:cs="Times New Roman"/>
          <w:sz w:val="28"/>
          <w:szCs w:val="28"/>
          <w:lang w:eastAsia="ru-RU"/>
        </w:rPr>
        <w:t>ь по сравнению с 2014 годом на 1013,90 рублей в связи с увеличением минимального размера оплаты труда  с 5554 рублей в 2014 году до 5965 рублей в 2015 году, и доведением средней заработной платы педагогических работников дошкольных образовательных учрежден</w:t>
      </w:r>
      <w:r>
        <w:rPr>
          <w:rFonts w:ascii="Times New Roman" w:hAnsi="Times New Roman" w:cs="Times New Roman"/>
          <w:sz w:val="28"/>
          <w:szCs w:val="28"/>
          <w:lang w:eastAsia="ru-RU"/>
        </w:rPr>
        <w:t>ий до 100% средней заработной платы в сфере общего образования в Ростовской области в соответствии с Указом Президента Российской Федерации от 07.05.2012 №597 «О мероприятиях по реализации государственной социальной политики». Рост среднемесячной начисленн</w:t>
      </w:r>
      <w:r>
        <w:rPr>
          <w:rFonts w:ascii="Times New Roman" w:hAnsi="Times New Roman" w:cs="Times New Roman"/>
          <w:sz w:val="28"/>
          <w:szCs w:val="28"/>
          <w:lang w:eastAsia="ru-RU"/>
        </w:rPr>
        <w:t>ой заработной платы работников муниципальных дошкольных образовательных учреждений в 2016-2018 годах обусловлен продолжающимся поэтапным повышением заработной платы педагогических работников .</w:t>
      </w:r>
    </w:p>
    <w:p w:rsidR="007C546E" w:rsidRDefault="0050337A">
      <w:pPr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 2015 году среднемесячная начисленная заработная плата работни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ков муниципальных общеобразовательных учреждений составила 20334,40 рублей и увеличилась по сравнению с 2014 годом на 809,00 рублей в связи с увеличением минимального размера оплаты труда  с 5554 рублей в 2014 году до 5965 рублей в 2015 году, и доведением </w:t>
      </w:r>
      <w:r>
        <w:rPr>
          <w:rFonts w:ascii="Times New Roman" w:hAnsi="Times New Roman" w:cs="Times New Roman"/>
          <w:sz w:val="28"/>
          <w:szCs w:val="28"/>
          <w:lang w:eastAsia="ru-RU"/>
        </w:rPr>
        <w:t>средней заработной платы педагогических работников дошкольных образовательных учреждений до 100% средней заработной платы в сфере общего образования в Ростовской области в соответствии с Указом Президента Российской Федерации от 07.05.2012 №597 «О мероприя</w:t>
      </w:r>
      <w:r>
        <w:rPr>
          <w:rFonts w:ascii="Times New Roman" w:hAnsi="Times New Roman" w:cs="Times New Roman"/>
          <w:sz w:val="28"/>
          <w:szCs w:val="28"/>
          <w:lang w:eastAsia="ru-RU"/>
        </w:rPr>
        <w:t>тиях по реализации государственной социальной политики». Рост среднемесячной начисленной заработной платы работников муниципальных общеобразовательных учреждений в 2016-2018 годах обусловлен продолжающимся поэтапным повышением заработной платы педагогическ</w:t>
      </w:r>
      <w:r>
        <w:rPr>
          <w:rFonts w:ascii="Times New Roman" w:hAnsi="Times New Roman" w:cs="Times New Roman"/>
          <w:sz w:val="28"/>
          <w:szCs w:val="28"/>
          <w:lang w:eastAsia="ru-RU"/>
        </w:rPr>
        <w:t>их работников.</w:t>
      </w:r>
    </w:p>
    <w:p w:rsidR="007C546E" w:rsidRDefault="0050337A">
      <w:pPr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В 2015 году среднемесячная начисленная заработная плата учителей муниципальных общеобразовательных  учреждений составила 26939,30 рублей и увеличилась по сравнению с 2014 годом на 351,90 рублей в связи с увеличением минимального размера опл</w:t>
      </w:r>
      <w:r>
        <w:rPr>
          <w:rFonts w:ascii="Times New Roman" w:hAnsi="Times New Roman" w:cs="Times New Roman"/>
          <w:sz w:val="28"/>
          <w:szCs w:val="28"/>
          <w:lang w:eastAsia="ru-RU"/>
        </w:rPr>
        <w:t>аты труда  с 5554 рублей в 2014 году до 5965 рублей в 2015 году, и доведением средней заработной платы педагогических работников дошкольных образовательных учреждений до 100% средней заработной платы в сфере общего образования в Ростовской области в соотве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тствии с Указом Президента Российской Федерации от 07.05.2012 №597 «О мероприятиях по реализации государственной социальной политики». Рост среднемесячной начисленной заработной платы учителей муниципальных общеобразовательных учреждений в 2016-2018 годах </w:t>
      </w:r>
      <w:r>
        <w:rPr>
          <w:rFonts w:ascii="Times New Roman" w:hAnsi="Times New Roman" w:cs="Times New Roman"/>
          <w:sz w:val="28"/>
          <w:szCs w:val="28"/>
          <w:lang w:eastAsia="ru-RU"/>
        </w:rPr>
        <w:t>обусловлен продолжающимся поэтапным повышением заработной платы учителей.</w:t>
      </w:r>
    </w:p>
    <w:p w:rsidR="007C546E" w:rsidRDefault="005033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2015 году среднемесячная начисленная заработная плата работников муниципальных учреждений культуры и искусства составила 15299,3 рублей и уменьшилась по сравнению с 2014 годом на 6</w:t>
      </w:r>
      <w:r>
        <w:rPr>
          <w:rFonts w:ascii="Times New Roman" w:hAnsi="Times New Roman" w:cs="Times New Roman"/>
          <w:sz w:val="28"/>
          <w:szCs w:val="28"/>
        </w:rPr>
        <w:t xml:space="preserve">27,60 рублей.  В 2016 году ожидается сохранение показателя на уровне 2015 года. В прогнозируемый период уровень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среднемесячной номинальной заработной платы работников учреждений культуры и искусства будет повышаться </w:t>
      </w:r>
      <w:r>
        <w:rPr>
          <w:rFonts w:ascii="Times New Roman" w:hAnsi="Times New Roman" w:cs="Times New Roman"/>
          <w:sz w:val="28"/>
          <w:szCs w:val="28"/>
          <w:lang w:eastAsia="ru-RU"/>
        </w:rPr>
        <w:t>в соответствии с реализацией Указа Прези</w:t>
      </w:r>
      <w:r>
        <w:rPr>
          <w:rFonts w:ascii="Times New Roman" w:hAnsi="Times New Roman" w:cs="Times New Roman"/>
          <w:sz w:val="28"/>
          <w:szCs w:val="28"/>
          <w:lang w:eastAsia="ru-RU"/>
        </w:rPr>
        <w:t>дента Российской Федерации от 07.05.2012 №597 «О мероприятиях по реализации государственной социальной политики» и</w:t>
      </w:r>
      <w:r>
        <w:rPr>
          <w:rFonts w:ascii="Times New Roman" w:hAnsi="Times New Roman" w:cs="Times New Roman"/>
          <w:sz w:val="28"/>
          <w:szCs w:val="28"/>
        </w:rPr>
        <w:t xml:space="preserve"> постановления Администрации Белокалитвинского района от 24.04.2013 №613 «Об утверждении Плана мероприятий («дорожной карты»). </w:t>
      </w:r>
    </w:p>
    <w:p w:rsidR="007C546E" w:rsidRDefault="005033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Среднемесячная</w:t>
      </w:r>
      <w:r>
        <w:rPr>
          <w:rFonts w:ascii="Times New Roman" w:hAnsi="Times New Roman" w:cs="Times New Roman"/>
          <w:sz w:val="28"/>
          <w:szCs w:val="28"/>
        </w:rPr>
        <w:t xml:space="preserve"> начисленная заработная плата работников муниципальных  учреждений физической культуры и спорта не отражена по итогам 2015 года и в дальнейшем не прогнозируется в связи с тем, что единственное муниципальное учреждение данного профиля (МБОУ ДОД «ДЮСШ №3») и</w:t>
      </w:r>
      <w:r>
        <w:rPr>
          <w:rFonts w:ascii="Times New Roman" w:hAnsi="Times New Roman" w:cs="Times New Roman"/>
          <w:sz w:val="28"/>
          <w:szCs w:val="28"/>
        </w:rPr>
        <w:t>зменило в 2014 году ОКВЭД и стало учреждением дополнительного образования детей.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7C546E" w:rsidRDefault="0050337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7C546E" w:rsidRDefault="0050337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II. Дошкольное образование</w:t>
      </w:r>
    </w:p>
    <w:p w:rsidR="007C546E" w:rsidRDefault="007C546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546E" w:rsidRDefault="005033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Показатель 9. Доля детей в возрасте 1 - 6 лет, получающих дошкольную образовательную услугу и (или) услугу по их содержанию в муни</w:t>
      </w:r>
      <w:r>
        <w:rPr>
          <w:rFonts w:ascii="Times New Roman" w:hAnsi="Times New Roman" w:cs="Times New Roman"/>
          <w:b/>
          <w:sz w:val="28"/>
          <w:szCs w:val="28"/>
        </w:rPr>
        <w:t xml:space="preserve">ципальных образовательных учреждениях в общей численности детей в возрасте 1 - 6 лет. </w:t>
      </w:r>
    </w:p>
    <w:p w:rsidR="007C546E" w:rsidRDefault="0050337A">
      <w:pPr>
        <w:tabs>
          <w:tab w:val="left" w:pos="0"/>
        </w:tabs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>В 2015 году по отношению к 2014 году данный показатель вырос на 3,20 % и составил 57,00%.</w:t>
      </w:r>
    </w:p>
    <w:p w:rsidR="007C546E" w:rsidRDefault="0050337A">
      <w:pPr>
        <w:tabs>
          <w:tab w:val="left" w:pos="0"/>
        </w:tabs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>Рост значения данного показателя связан с введением 395 мест после капитально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го ремонта МБДОУ ДС № 42 «Дюймовочка» и МБДОУ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№ 40 «Золотой петушок», а также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50 мест в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МБДОУ ДС № 43 «Колобок»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в связи с приобретением модульного детского сада. </w:t>
      </w:r>
    </w:p>
    <w:p w:rsidR="007C546E" w:rsidRDefault="0050337A">
      <w:pPr>
        <w:tabs>
          <w:tab w:val="left" w:pos="0"/>
        </w:tabs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FF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К 2018 году данный показатель планируется увеличить до 70,00% </w:t>
      </w:r>
      <w:r>
        <w:rPr>
          <w:rFonts w:ascii="Times New Roman" w:hAnsi="Times New Roman" w:cs="Times New Roman"/>
          <w:sz w:val="28"/>
          <w:szCs w:val="28"/>
          <w:lang w:eastAsia="ru-RU"/>
        </w:rPr>
        <w:t>в связи с планируемым введением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в действие трёх строящихся детских садов на 460 мест. </w:t>
      </w:r>
    </w:p>
    <w:p w:rsidR="007C546E" w:rsidRDefault="007C546E">
      <w:pPr>
        <w:tabs>
          <w:tab w:val="left" w:pos="0"/>
        </w:tabs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7C546E" w:rsidRDefault="005033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Показатель 10. Доля детей в возрасте 1 - 6 лет, стоящих на учете для определения в муниципальные дошкольные образовательные учреждения, в общей численности детей в возрасте 1 - 6 лет. </w:t>
      </w:r>
    </w:p>
    <w:p w:rsidR="007C546E" w:rsidRDefault="0050337A">
      <w:pPr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 2015 году по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отношению к 2014 году данный показатель снизился на 2,40% и составил 17,60%.</w:t>
      </w:r>
    </w:p>
    <w:p w:rsidR="007C546E" w:rsidRDefault="0050337A">
      <w:pPr>
        <w:tabs>
          <w:tab w:val="left" w:pos="0"/>
        </w:tabs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Уменьшение данного показателя объясняется введением 395 мест после капитального ремонта МБДОУ ДС № 42 «Дюймовочка» и МБДОУ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№ 40 «Золотой петушок», а также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50 мест в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МБДОУ ДС № 43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«Колобок»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в связи с приобретением модульного детского сада. </w:t>
      </w:r>
    </w:p>
    <w:p w:rsidR="007C546E" w:rsidRDefault="0050337A">
      <w:pPr>
        <w:tabs>
          <w:tab w:val="left" w:pos="0"/>
        </w:tabs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FF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К 2018 году данный показатель планируется довести до 6,00% в связи с планируемым введением в действие трёх строящихся детских садов на 460 мест.</w:t>
      </w:r>
      <w:r>
        <w:rPr>
          <w:rFonts w:ascii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</w:p>
    <w:p w:rsidR="007C546E" w:rsidRDefault="007C546E">
      <w:pPr>
        <w:tabs>
          <w:tab w:val="left" w:pos="0"/>
        </w:tabs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7C546E" w:rsidRDefault="005033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Показатель 11. Доля муниципальных дошкольных об</w:t>
      </w:r>
      <w:r>
        <w:rPr>
          <w:rFonts w:ascii="Times New Roman" w:hAnsi="Times New Roman" w:cs="Times New Roman"/>
          <w:b/>
          <w:sz w:val="28"/>
          <w:szCs w:val="28"/>
        </w:rPr>
        <w:t>разовательных учреждений, здания которых находятся в аварийном состоянии или требуют капитального ремонта, в общем числе муниципальных дошкольных образовательных учреждений.</w:t>
      </w:r>
    </w:p>
    <w:p w:rsidR="007C546E" w:rsidRDefault="005033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2015 году данный показатель остался на уровне 2014 года и составил 2,30%. Это св</w:t>
      </w:r>
      <w:r>
        <w:rPr>
          <w:rFonts w:ascii="Times New Roman" w:hAnsi="Times New Roman" w:cs="Times New Roman"/>
          <w:sz w:val="28"/>
          <w:szCs w:val="28"/>
        </w:rPr>
        <w:t xml:space="preserve">язано с тем, что количество муниципальных дошкольных образовательных организаций, здания которых находятся в аварийном состоянии или требуют капитального ремонта, составило 1 единицу (детский сад № 27). </w:t>
      </w:r>
    </w:p>
    <w:p w:rsidR="007C546E" w:rsidRDefault="005033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 2016-2018 годах данный показатель прогнозируется на уровне 2015 года - 2,30%. </w:t>
      </w:r>
    </w:p>
    <w:p w:rsidR="007C546E" w:rsidRDefault="0050337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7C546E" w:rsidRDefault="0050337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III. Общее и дополнительное образование</w:t>
      </w:r>
    </w:p>
    <w:p w:rsidR="007C546E" w:rsidRDefault="007C546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546E" w:rsidRDefault="005033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sz w:val="28"/>
          <w:szCs w:val="28"/>
        </w:rPr>
        <w:t>Показатель 12. Доля выпускников муниципальных общеобразовательных учреждений, сдавших единый государственный экзамен по русскому язы</w:t>
      </w:r>
      <w:r>
        <w:rPr>
          <w:rFonts w:ascii="Times New Roman" w:hAnsi="Times New Roman" w:cs="Times New Roman"/>
          <w:b/>
          <w:sz w:val="28"/>
          <w:szCs w:val="28"/>
        </w:rPr>
        <w:t>ку и математике, в общей численности выпускников муниципальных общеобразовательных учреждений, сдававших единый государственный экзамен по данным предметам.</w:t>
      </w:r>
    </w:p>
    <w:p w:rsidR="007C546E" w:rsidRDefault="005033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Доля выпускников, сдавших единый государственный экзамен по русскому языку и математике в 2015 году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увеличилась  по отношению к 2014 году на 4,67% и составила 99,67%. Рост данного показателя связан с улучшением качества подготовки обучающихся к государственной итоговой аттестации. </w:t>
      </w:r>
    </w:p>
    <w:p w:rsidR="007C546E" w:rsidRDefault="0050337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В 2016-2018 годах данный показатель планируется на уровне 100,00%.</w:t>
      </w:r>
    </w:p>
    <w:p w:rsidR="007C546E" w:rsidRDefault="007C546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C546E" w:rsidRDefault="005033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sz w:val="28"/>
          <w:szCs w:val="28"/>
        </w:rPr>
        <w:t>Показатель 13. Доля выпускников муниципальных общеобразовательных учреждений, не получивших аттестат о среднем (полном) образовании, в общей численности выпускников муниципальных общеобразовательных учреждений.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546E" w:rsidRDefault="005033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Доля выпускников, не получивших аттестаты в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2015 году, уменьшилась по отношению к 2014 году на 0,48% и составила 0,33%. Снижение данного показателя связано с улучшением качества подготовки обучающихся к государственной итоговой аттестации. </w:t>
      </w:r>
    </w:p>
    <w:p w:rsidR="007C546E" w:rsidRDefault="0050337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В 2016-2018 годах данный показатель планируется свести к ну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лю.</w:t>
      </w:r>
    </w:p>
    <w:p w:rsidR="007C546E" w:rsidRDefault="007C546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C546E" w:rsidRDefault="005033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Показатель 14.  Доля муниципальных общеобразовательных учреждений, здания которых находятся в аварийном состоянии или требуют капитального ремонта, в общем количестве муниципальных общеобразовательных учреждений. </w:t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7C546E" w:rsidRDefault="005033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2015 году доля общеобразовательных</w:t>
      </w:r>
      <w:r>
        <w:rPr>
          <w:rFonts w:ascii="Times New Roman" w:hAnsi="Times New Roman" w:cs="Times New Roman"/>
          <w:sz w:val="28"/>
          <w:szCs w:val="28"/>
        </w:rPr>
        <w:t xml:space="preserve"> организаций, здания которых находятся в аварийном состоянии или требуют капитального ремонта, осталась на уровне 2014 года и составила 2,38 % (МБОУ СОШ № 3).</w:t>
      </w:r>
    </w:p>
    <w:p w:rsidR="007C546E" w:rsidRDefault="0050337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2016-2018 годах планируется сохранение данного показателя  на уровне 2,38%.</w:t>
      </w:r>
    </w:p>
    <w:p w:rsidR="007C546E" w:rsidRDefault="007C546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C546E" w:rsidRDefault="005033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sz w:val="28"/>
          <w:szCs w:val="28"/>
        </w:rPr>
        <w:t>Показатель 15. Дол</w:t>
      </w:r>
      <w:r>
        <w:rPr>
          <w:rFonts w:ascii="Times New Roman" w:hAnsi="Times New Roman" w:cs="Times New Roman"/>
          <w:b/>
          <w:sz w:val="28"/>
          <w:szCs w:val="28"/>
        </w:rPr>
        <w:t>я муниципальных общеобразовательных учреждений, соответствующих современным требованиям обучения, в общем количестве муниципальных общеобразовательных учреждений.</w:t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7C546E" w:rsidRDefault="0050337A">
      <w:pPr>
        <w:suppressAutoHyphens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В 2015 году данный показатель повысился по отношению к 2014 году на 0,48% и составил 76,24%.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Рост данного показателя связан с созданием доступной среды в трёх общеобразовательных организациях (МБОУ СОШ № 5, № 10, № 15).</w:t>
      </w:r>
    </w:p>
    <w:p w:rsidR="007C546E" w:rsidRDefault="0050337A">
      <w:pPr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К 2018 году планируется довести значение данного показателя до 80,00%.</w:t>
      </w:r>
    </w:p>
    <w:p w:rsidR="007C546E" w:rsidRDefault="007C546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C546E" w:rsidRDefault="005033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sz w:val="28"/>
          <w:szCs w:val="28"/>
        </w:rPr>
        <w:t>Показатель 16. Доля детей первой и второй групп здоровья</w:t>
      </w:r>
      <w:r>
        <w:rPr>
          <w:rFonts w:ascii="Times New Roman" w:hAnsi="Times New Roman" w:cs="Times New Roman"/>
          <w:b/>
          <w:sz w:val="28"/>
          <w:szCs w:val="28"/>
        </w:rPr>
        <w:t xml:space="preserve"> в общей численности обучающихся в муниципальных общеобразовательных учреждениях.</w:t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7C546E" w:rsidRDefault="0050337A">
      <w:pPr>
        <w:suppressAutoHyphens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 xml:space="preserve">Доля детей </w:t>
      </w:r>
      <w:r>
        <w:rPr>
          <w:rFonts w:ascii="Times New Roman" w:eastAsia="Calibri" w:hAnsi="Times New Roman" w:cs="Times New Roman"/>
          <w:sz w:val="28"/>
          <w:szCs w:val="28"/>
          <w:lang w:val="en-US" w:eastAsia="en-US"/>
        </w:rPr>
        <w:t>I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 </w:t>
      </w:r>
      <w:r>
        <w:rPr>
          <w:rFonts w:ascii="Times New Roman" w:eastAsia="Calibri" w:hAnsi="Times New Roman" w:cs="Times New Roman"/>
          <w:sz w:val="28"/>
          <w:szCs w:val="28"/>
          <w:lang w:val="en-US" w:eastAsia="en-US"/>
        </w:rPr>
        <w:t>II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групп здоровья среди школьников остаётся стабильно высокой. В 2015 году данный показатель увеличился по отношению к 2014 году на 3,19% и составил 90,30%. Р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ост данного показателя связан с повышением качества медицинского обслуживания и внедрением здоровьесберегающих технологий в общеобразовательных организациях.</w:t>
      </w:r>
    </w:p>
    <w:p w:rsidR="007C546E" w:rsidRDefault="0050337A">
      <w:pPr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К 2018 году планируется увеличение данного показателя до 93,00%.</w:t>
      </w:r>
    </w:p>
    <w:p w:rsidR="007C546E" w:rsidRDefault="007C546E">
      <w:pPr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C546E" w:rsidRDefault="0050337A">
      <w:pPr>
        <w:suppressAutoHyphens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Показатель 17. Доля обучающихся </w:t>
      </w:r>
      <w:r>
        <w:rPr>
          <w:rFonts w:ascii="Times New Roman" w:hAnsi="Times New Roman" w:cs="Times New Roman"/>
          <w:b/>
          <w:sz w:val="28"/>
          <w:szCs w:val="28"/>
        </w:rPr>
        <w:t>в муниципальных общеобразовательных учреждениях, занимающихся во вторую (третью) смену, в общей численности обучающихся в муниципальных общеобразовательных учреждениях.</w:t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7C546E" w:rsidRDefault="0050337A">
      <w:pPr>
        <w:suppressAutoHyphens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Доля обучающихся в муниципальных общеобразовательных организациях, занимающихся во 2 с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мену, в 2015 году снизилась на 2,09 процентных пункта и составила 13,23%. Улучшение данного показателя связано с использованием внутренних резервов общеобразовательных организаций города. </w:t>
      </w:r>
    </w:p>
    <w:p w:rsidR="007C546E" w:rsidRDefault="0050337A">
      <w:pPr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В прогнозируемом периоде ожидается рост данного показателя до 21,50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% в 2018 году в связи с ростом количества обучающихся общеобразовательных организаций.</w:t>
      </w:r>
    </w:p>
    <w:p w:rsidR="007C546E" w:rsidRDefault="007C546E">
      <w:pPr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7C546E" w:rsidRDefault="0050337A">
      <w:pPr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Показатель 18. Расходы бюджета муниципального образования на общее образование в расчете на 1 обучающегося в муниципальных общеобразовательных учреждениях.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ab/>
      </w:r>
    </w:p>
    <w:p w:rsidR="007C546E" w:rsidRDefault="0050337A">
      <w:pPr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Расходы </w:t>
      </w:r>
      <w:r>
        <w:rPr>
          <w:rFonts w:ascii="Times New Roman" w:hAnsi="Times New Roman" w:cs="Times New Roman"/>
          <w:sz w:val="28"/>
          <w:szCs w:val="28"/>
          <w:lang w:eastAsia="ru-RU"/>
        </w:rPr>
        <w:t>бюджета муниципального образования на общее образование в расчете на одного обучающегося в муниципальных общеобразовательных организациях в 2015 году увеличились на 1,33 тыс. рублей и составили 67,46 тыс. рублей. Рост данного показателя связан с увеличение</w:t>
      </w:r>
      <w:r>
        <w:rPr>
          <w:rFonts w:ascii="Times New Roman" w:hAnsi="Times New Roman" w:cs="Times New Roman"/>
          <w:sz w:val="28"/>
          <w:szCs w:val="28"/>
          <w:lang w:eastAsia="ru-RU"/>
        </w:rPr>
        <w:t>м расходов бюджетов всех уровней на общее образование.</w:t>
      </w:r>
    </w:p>
    <w:p w:rsidR="007C546E" w:rsidRDefault="0050337A">
      <w:pPr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 2016-2018 годах прогнозируется рост данного показателя с 67,70 тыс. рублей до 70,00 тыс. рублей.</w:t>
      </w:r>
    </w:p>
    <w:p w:rsidR="007C546E" w:rsidRDefault="007C546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C546E" w:rsidRDefault="005033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Показатель 19. Доля детей в возрасте 5 - 18 лет, получающих услуги по дополнительному образованию в о</w:t>
      </w:r>
      <w:r>
        <w:rPr>
          <w:rFonts w:ascii="Times New Roman" w:hAnsi="Times New Roman" w:cs="Times New Roman"/>
          <w:b/>
          <w:sz w:val="28"/>
          <w:szCs w:val="28"/>
        </w:rPr>
        <w:t xml:space="preserve">рганизациях различной организационно-правовой формы и формы собственности, в общей численности детей данной возрастной группы. </w:t>
      </w:r>
    </w:p>
    <w:p w:rsidR="007C546E" w:rsidRDefault="005033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В 2015 году доля детей в возрасте 5-18 лет, получающих услуги по дополнительному образованию в образовательных организациях допо</w:t>
      </w:r>
      <w:r>
        <w:rPr>
          <w:rFonts w:ascii="Times New Roman" w:hAnsi="Times New Roman" w:cs="Times New Roman"/>
          <w:sz w:val="28"/>
          <w:szCs w:val="28"/>
        </w:rPr>
        <w:t>лнительного образования, увеличилась  на  0, 40%  и составила 81,00%. Рост данного показателя связан с увеличением числа занимающихся в кружках и секциях в организациях дополнительного образования.</w:t>
      </w:r>
    </w:p>
    <w:p w:rsidR="007C546E" w:rsidRDefault="0050337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В 2016-2018 годах планируется сохранение доли занимающихся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на уровне 81,00%.</w:t>
      </w:r>
    </w:p>
    <w:p w:rsidR="007C546E" w:rsidRDefault="007C546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546E" w:rsidRDefault="0050337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IV. Культура</w:t>
      </w:r>
    </w:p>
    <w:p w:rsidR="007C546E" w:rsidRDefault="007C546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546E" w:rsidRDefault="005033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Показатель 20. Уровень фактической обеспеченности учреждениями культуры от нормативной потребности: клубами и учреждениями клубного типа, библиотеками, парками культуры и отдыха.</w:t>
      </w:r>
    </w:p>
    <w:p w:rsidR="007C546E" w:rsidRDefault="005033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Уровень фактической обеспеченности культурн</w:t>
      </w:r>
      <w:r>
        <w:rPr>
          <w:rFonts w:ascii="Times New Roman" w:hAnsi="Times New Roman" w:cs="Times New Roman"/>
          <w:sz w:val="28"/>
          <w:szCs w:val="28"/>
        </w:rPr>
        <w:t xml:space="preserve">о-досуговыми учреждениями от нормативной потребности в 2014-2015 годах составил 75,86%. В 2016 году планируется увеличение этого показателя до 90% в связи с планируемым открытием на территории г. Белая Калитва в октябре 2016 Центра культурного развития. </w:t>
      </w:r>
    </w:p>
    <w:p w:rsidR="007C546E" w:rsidRDefault="005033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иблиотеками район обеспечен в 2014-2015 годах на 97,62% от нормативной потребности. В плановом периоде ожидается доведение данного показателя до 100% в связи с прогнозируемой убылью населения.</w:t>
      </w:r>
    </w:p>
    <w:p w:rsidR="007C546E" w:rsidRDefault="0050337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Уровень фактической обеспеченности парками культуры и отдыха в </w:t>
      </w:r>
      <w:r>
        <w:rPr>
          <w:rFonts w:ascii="Times New Roman" w:hAnsi="Times New Roman" w:cs="Times New Roman"/>
          <w:sz w:val="28"/>
          <w:szCs w:val="28"/>
        </w:rPr>
        <w:t>Белокалитвинском районе составляет 100% от нормативной потребности и сохранится на планируемый период.</w:t>
      </w:r>
    </w:p>
    <w:p w:rsidR="007C546E" w:rsidRDefault="007C546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C546E" w:rsidRDefault="005033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Показатель  21. Доля муниципальных учреждений культуры, здания которых находятся в аварийном состоянии или требуют капитального ремонта, в общем количес</w:t>
      </w:r>
      <w:r>
        <w:rPr>
          <w:rFonts w:ascii="Times New Roman" w:hAnsi="Times New Roman" w:cs="Times New Roman"/>
          <w:b/>
          <w:sz w:val="28"/>
          <w:szCs w:val="28"/>
        </w:rPr>
        <w:t>тве муниципальных учреждений культуры.</w:t>
      </w:r>
    </w:p>
    <w:p w:rsidR="007C546E" w:rsidRDefault="0050337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Доля муниципальных учреждений культуры, здания которых требуют капитального ремонта, в 2014 году составила 30,70%, в 2015 году увеличилась до 48,03% в связи с проведением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дополнительного обследования и выявлением здан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ий, требующих капитального ремонта. В 2016-2018 годах прогнозируется сохранение значения показателя на уровне 48,03%. </w:t>
      </w:r>
    </w:p>
    <w:p w:rsidR="007C546E" w:rsidRDefault="007C546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C546E" w:rsidRDefault="005033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Показатель 22. Доля объектов культурного наследия, находящихся в муниципальной собственности и требующих консервации или реставрации, в </w:t>
      </w:r>
      <w:r>
        <w:rPr>
          <w:rFonts w:ascii="Times New Roman" w:hAnsi="Times New Roman" w:cs="Times New Roman"/>
          <w:b/>
          <w:sz w:val="28"/>
          <w:szCs w:val="28"/>
        </w:rPr>
        <w:t>общем количестве объектов культурного наследия, находящихся в муниципальной собственности.</w:t>
      </w:r>
    </w:p>
    <w:p w:rsidR="007C546E" w:rsidRDefault="005033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Доля объектов культурного наследия, находящихся в муниципальной собственности и требующих консервации или реставрации в 2015 году сохранилась на уровне 2014 года и с</w:t>
      </w:r>
      <w:r>
        <w:rPr>
          <w:rFonts w:ascii="Times New Roman" w:hAnsi="Times New Roman" w:cs="Times New Roman"/>
          <w:sz w:val="28"/>
          <w:szCs w:val="28"/>
        </w:rPr>
        <w:t xml:space="preserve">оставила 50%. К 2018 году значение показателя составит 25% в связи с 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 запланированной реконструкцией одного объекта культурного наследия, находящегося в муниципальной собственности Белокалитвинского района.</w:t>
      </w:r>
    </w:p>
    <w:p w:rsidR="007C546E" w:rsidRDefault="007C54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546E" w:rsidRDefault="0050337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V. Физическая культура и спорт</w:t>
      </w:r>
    </w:p>
    <w:p w:rsidR="007C546E" w:rsidRDefault="007C546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C546E" w:rsidRDefault="005033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Показатель 23. Доля населения, систематически занимающегося физической культурой и спортом. </w:t>
      </w:r>
    </w:p>
    <w:p w:rsidR="007C546E" w:rsidRDefault="005033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Доля населения, систематически занимающегося физической культурой и спортом, по отношению к 2014 году увеличилась на 2,41 процентных пункта и составила в 2015 году</w:t>
      </w:r>
      <w:r>
        <w:rPr>
          <w:rFonts w:ascii="Times New Roman" w:hAnsi="Times New Roman" w:cs="Times New Roman"/>
          <w:sz w:val="28"/>
          <w:szCs w:val="28"/>
        </w:rPr>
        <w:t xml:space="preserve"> 33,30% от общего числа жителей в связи с ростом</w:t>
      </w:r>
      <w:r>
        <w:rPr>
          <w:rFonts w:ascii="Times New Roman" w:hAnsi="Times New Roman" w:cs="Times New Roman"/>
          <w:bCs/>
          <w:sz w:val="28"/>
          <w:szCs w:val="28"/>
        </w:rPr>
        <w:t xml:space="preserve"> численности школьников, занимающихся спортом, </w:t>
      </w:r>
      <w:r>
        <w:rPr>
          <w:rFonts w:ascii="Times New Roman" w:hAnsi="Times New Roman" w:cs="Times New Roman"/>
          <w:sz w:val="28"/>
          <w:szCs w:val="28"/>
        </w:rPr>
        <w:t xml:space="preserve">вводом в эксплуатацию  открытой плоскостной спортивной площадки и тренажёрной площадки, построенной фондом «Устойчивое развитие»  АО «Алюминий Металлург Рус». </w:t>
      </w:r>
    </w:p>
    <w:p w:rsidR="007C546E" w:rsidRDefault="0050337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прогнозируемом периоде на территории района планируется следующее:</w:t>
      </w:r>
    </w:p>
    <w:p w:rsidR="007C546E" w:rsidRDefault="005033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увеличение плоскостных спортивных сооружений для повышения уровня фактической обеспеченности населения, которое обусловлено ежегодным строительством таких объектов на территориях городск</w:t>
      </w:r>
      <w:r>
        <w:rPr>
          <w:rFonts w:ascii="Times New Roman" w:hAnsi="Times New Roman" w:cs="Times New Roman"/>
          <w:bCs/>
          <w:sz w:val="28"/>
          <w:szCs w:val="28"/>
        </w:rPr>
        <w:t xml:space="preserve">их и сельских поселений Белокалитвинского района (Белокалитвинское городское поселение - </w:t>
      </w: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многофункциональная спортивная площадка «Газпром - детям» и многофункциональный спортивный зал в МБУ ДО «ДЮСШ № 2»); </w:t>
      </w:r>
    </w:p>
    <w:p w:rsidR="007C546E" w:rsidRDefault="0050337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увеличение количества населения, принимающего у</w:t>
      </w:r>
      <w:r>
        <w:rPr>
          <w:rFonts w:ascii="Times New Roman" w:hAnsi="Times New Roman" w:cs="Times New Roman"/>
          <w:sz w:val="28"/>
          <w:szCs w:val="28"/>
        </w:rPr>
        <w:t>частие в Спартакиаде Дона».</w:t>
      </w:r>
    </w:p>
    <w:p w:rsidR="007C546E" w:rsidRDefault="007C546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C546E" w:rsidRDefault="005033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Показатель 23.1. Доля обучающихся, систематически занимающихся физической культурой и спортом, в общей численности обучающихся.</w:t>
      </w:r>
    </w:p>
    <w:p w:rsidR="007C546E" w:rsidRDefault="005033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Доля обучающихся, систематически занимающихся физической культурой и спортом, в общей численности о</w:t>
      </w:r>
      <w:r>
        <w:rPr>
          <w:rFonts w:ascii="Times New Roman" w:hAnsi="Times New Roman" w:cs="Times New Roman"/>
          <w:sz w:val="28"/>
          <w:szCs w:val="28"/>
        </w:rPr>
        <w:t>бучающихся в 2015 году составила 78,12%.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В прогнозируемом периоде планируется доведение значения данного показателя до 79,00% - в 2016 году, 80,00% - в 2017 году и 81,00% - в 2018 году в связи с реализацией </w:t>
      </w:r>
      <w:r>
        <w:rPr>
          <w:rFonts w:ascii="Times New Roman" w:hAnsi="Times New Roman" w:cs="Times New Roman"/>
          <w:sz w:val="28"/>
          <w:szCs w:val="28"/>
        </w:rPr>
        <w:t>мероприятий по внедрению Всероссийского спортивно</w:t>
      </w:r>
      <w:r>
        <w:rPr>
          <w:rFonts w:ascii="Times New Roman" w:hAnsi="Times New Roman" w:cs="Times New Roman"/>
          <w:sz w:val="28"/>
          <w:szCs w:val="28"/>
        </w:rPr>
        <w:t>го комплекса «Готов к труду и обороне».</w:t>
      </w:r>
    </w:p>
    <w:p w:rsidR="007C546E" w:rsidRDefault="007C54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546E" w:rsidRDefault="0050337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28"/>
          <w:szCs w:val="28"/>
        </w:rPr>
        <w:t>VI. Жилищное строительство и обеспечение граждан жильем</w:t>
      </w:r>
    </w:p>
    <w:p w:rsidR="007C546E" w:rsidRDefault="007C546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7C546E" w:rsidRDefault="005033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Показатель 24.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Общая площадь жилых помещений, приходящаяся в среднем на одного жителя,</w:t>
      </w:r>
      <w:r>
        <w:rPr>
          <w:rFonts w:ascii="Times New Roman" w:hAnsi="Times New Roman" w:cs="Times New Roman"/>
          <w:b/>
          <w:sz w:val="28"/>
          <w:szCs w:val="28"/>
        </w:rPr>
        <w:t xml:space="preserve"> в том числе введенная в действие за один год.</w:t>
      </w:r>
    </w:p>
    <w:p w:rsidR="007C546E" w:rsidRDefault="005033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Фактическая общая площадь</w:t>
      </w:r>
      <w:r>
        <w:rPr>
          <w:rFonts w:ascii="Times New Roman" w:hAnsi="Times New Roman" w:cs="Times New Roman"/>
          <w:sz w:val="28"/>
          <w:szCs w:val="28"/>
        </w:rPr>
        <w:t xml:space="preserve"> жилых помещений на 2015 год составила  25,14 кв. метров на одного жителя (в том числе введенная в действие за один год - 0,30 кв. метров), что на 0,55 кв. метров больше уровня 2014 года. Увеличение показателей к уровню 2014 года обусловлено строительством</w:t>
      </w:r>
      <w:r>
        <w:rPr>
          <w:rFonts w:ascii="Times New Roman" w:hAnsi="Times New Roman" w:cs="Times New Roman"/>
          <w:sz w:val="28"/>
          <w:szCs w:val="28"/>
        </w:rPr>
        <w:t xml:space="preserve"> многоквартирных жилых домов на отведенных земельных участках в 2014 году.</w:t>
      </w:r>
    </w:p>
    <w:p w:rsidR="007C546E" w:rsidRDefault="005033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2016 году планируется увеличение показателя до 25,54 кв. метров на одного жителя, в 2017 и 2018 годах - до 25,68 и 26,00 кв. метров соответственно, в связи с сохранением динамики </w:t>
      </w:r>
      <w:r>
        <w:rPr>
          <w:rFonts w:ascii="Times New Roman" w:hAnsi="Times New Roman" w:cs="Times New Roman"/>
          <w:sz w:val="28"/>
          <w:szCs w:val="28"/>
        </w:rPr>
        <w:t>превышения темпов строительства и предполагаемым строительством многоквартирных жилых домов над убылью населения.</w:t>
      </w:r>
    </w:p>
    <w:p w:rsidR="007C546E" w:rsidRDefault="0050337A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Значение показателя общей площади жилых помещений, приходящейся в среднем на одного жителя,</w:t>
      </w:r>
      <w:r>
        <w:rPr>
          <w:rFonts w:ascii="Times New Roman" w:hAnsi="Times New Roman" w:cs="Times New Roman"/>
          <w:sz w:val="28"/>
          <w:szCs w:val="28"/>
        </w:rPr>
        <w:t xml:space="preserve"> введенной в действие за один год в </w:t>
      </w:r>
      <w:r>
        <w:rPr>
          <w:rFonts w:ascii="Times New Roman" w:hAnsi="Times New Roman" w:cs="Times New Roman"/>
          <w:sz w:val="28"/>
          <w:szCs w:val="28"/>
        </w:rPr>
        <w:t>2016-2018 годах незначительно снизится и составит на 0,30 - 0,21 кв.метров, что связано со сложившейся экономической ситуацией, в которой наметилась тенденция сокращения объемов вводимого жилья и уменьшения количества начинаемых строительством многоквартир</w:t>
      </w:r>
      <w:r>
        <w:rPr>
          <w:rFonts w:ascii="Times New Roman" w:hAnsi="Times New Roman" w:cs="Times New Roman"/>
          <w:sz w:val="28"/>
          <w:szCs w:val="28"/>
        </w:rPr>
        <w:t xml:space="preserve">ных жилых домов. </w:t>
      </w:r>
    </w:p>
    <w:p w:rsidR="007C546E" w:rsidRDefault="007C546E">
      <w:pPr>
        <w:spacing w:after="0" w:line="240" w:lineRule="auto"/>
        <w:ind w:firstLine="709"/>
        <w:jc w:val="both"/>
      </w:pPr>
    </w:p>
    <w:p w:rsidR="007C546E" w:rsidRDefault="0050337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Показатель 25.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Площадь земельных участков, предоставленных для строительства в расчете на 10 тыс. человек населения,</w:t>
      </w:r>
      <w: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в том числе земельных участков, предоставленных для жилищного строительства, индивидуального строительства и комплексног</w:t>
      </w:r>
      <w:r>
        <w:rPr>
          <w:rFonts w:ascii="Times New Roman" w:hAnsi="Times New Roman" w:cs="Times New Roman"/>
          <w:b/>
          <w:sz w:val="28"/>
          <w:szCs w:val="28"/>
        </w:rPr>
        <w:t>о освоения в целях жилищного строительства.</w:t>
      </w:r>
    </w:p>
    <w:p w:rsidR="007C546E" w:rsidRDefault="0050337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Фактическая площадь земельных участков, предоставленных для строительства, на 2015 год составила 1,38 га, в том числе для жилищного строительства - 1,00 га. Увеличение показателя к уровню 2014 года на 0,01 га дос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тигнуто за счет увеличения числа бесплатно предоставленных земельных участков гражданам, имеющим 3-х и более детей. </w:t>
      </w:r>
    </w:p>
    <w:p w:rsidR="007C546E" w:rsidRDefault="0050337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2016-2018 годах прогнозируется увеличение показателя предоставления земельных участков за счет реализации проекта планировки, межевания 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микрорайоне «Заречный-2» г. Белая Калитва.</w:t>
      </w:r>
    </w:p>
    <w:p w:rsidR="007C546E" w:rsidRDefault="007C546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C546E" w:rsidRDefault="005033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Показатель 26. Площадь земельных участков, предоставленных для строительства, в отношении которых с даты принятия решения о предоставлении земельного участка или подписания протокола о результатах торгов (конкур</w:t>
      </w:r>
      <w:r>
        <w:rPr>
          <w:rFonts w:ascii="Times New Roman" w:hAnsi="Times New Roman" w:cs="Times New Roman"/>
          <w:b/>
          <w:sz w:val="28"/>
          <w:szCs w:val="28"/>
        </w:rPr>
        <w:t>сов, аукционов) не было получено разрешение на ввод в эксплуатацию: объектов жилищного строительства - в течение 3 лет, иных объектов капитального строительства - в течение 5 лет.</w:t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7C546E" w:rsidRDefault="005033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2014-2015 годах значение показателя «площадь земельных участков, предоста</w:t>
      </w:r>
      <w:r>
        <w:rPr>
          <w:rFonts w:ascii="Times New Roman" w:hAnsi="Times New Roman" w:cs="Times New Roman"/>
          <w:sz w:val="28"/>
          <w:szCs w:val="28"/>
        </w:rPr>
        <w:t>вленных для строительства, в отношении которых с даты принятия решения о предоставлении земельного участка не было получено разрешение на ввод в эксплуатацию по объектам жилищного строительства в течение 3 лет» равно «нулю» в связи с тем, что в отчетном пе</w:t>
      </w:r>
      <w:r>
        <w:rPr>
          <w:rFonts w:ascii="Times New Roman" w:hAnsi="Times New Roman" w:cs="Times New Roman"/>
          <w:sz w:val="28"/>
          <w:szCs w:val="28"/>
        </w:rPr>
        <w:t>риоде сокращены сроки строительства и ввода объектов жилищного строительства в эксплуатацию, т.е. сроки освоения земельных участков не превышают 3 лет.</w:t>
      </w:r>
    </w:p>
    <w:p w:rsidR="007C546E" w:rsidRDefault="005033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прогнозируемом периоде ситуация сохранится за счет исполнения программы строительства и своевременного</w:t>
      </w:r>
      <w:r>
        <w:rPr>
          <w:rFonts w:ascii="Times New Roman" w:hAnsi="Times New Roman" w:cs="Times New Roman"/>
          <w:sz w:val="28"/>
          <w:szCs w:val="28"/>
        </w:rPr>
        <w:t xml:space="preserve"> ввода объектов в эксплуатацию.</w:t>
      </w:r>
    </w:p>
    <w:p w:rsidR="007C546E" w:rsidRDefault="005033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2014-2015 годах, значение показателя «площадь земельных участков, предоставленных для строительства, в отношении которых с даты принятия решения о предоставлении земельного участка не было получено разрешение на ввод в </w:t>
      </w:r>
      <w:r>
        <w:rPr>
          <w:rFonts w:ascii="Times New Roman" w:hAnsi="Times New Roman" w:cs="Times New Roman"/>
          <w:sz w:val="28"/>
          <w:szCs w:val="28"/>
        </w:rPr>
        <w:t>эксплуатацию иных объектов капитального строительства в течение 5 лет» равно «нулю» в связи с обеспечением нормативных сроков строительства объектов и сокращением объемов незавершенного строительства.</w:t>
      </w:r>
    </w:p>
    <w:p w:rsidR="007C546E" w:rsidRDefault="0050337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прогнозируемый период 2016-2018 годов ситуация сохра</w:t>
      </w:r>
      <w:r>
        <w:rPr>
          <w:rFonts w:ascii="Times New Roman" w:hAnsi="Times New Roman" w:cs="Times New Roman"/>
          <w:sz w:val="28"/>
          <w:szCs w:val="28"/>
        </w:rPr>
        <w:t>нится.</w:t>
      </w:r>
    </w:p>
    <w:p w:rsidR="007C546E" w:rsidRDefault="007C546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546E" w:rsidRDefault="0050337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VII. Жилищно-коммунальное хозяйство</w:t>
      </w:r>
    </w:p>
    <w:p w:rsidR="007C546E" w:rsidRDefault="007C546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546E" w:rsidRDefault="005033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Показатель 27. Доля многоквартирных домов, в которых собственники помещений выбрали и реализуют один из способов управления многоквартирными домами.</w:t>
      </w:r>
    </w:p>
    <w:p w:rsidR="007C546E" w:rsidRDefault="005033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Доля многоквартирных домов, в которых собственники помещений в</w:t>
      </w:r>
      <w:r>
        <w:rPr>
          <w:rFonts w:ascii="Times New Roman" w:hAnsi="Times New Roman" w:cs="Times New Roman"/>
          <w:sz w:val="28"/>
          <w:szCs w:val="28"/>
        </w:rPr>
        <w:t>ыбрали и реализуют способ управления многоквартирными домами, в 2015 году увеличилась на 0,99 процента пункта и составила  100%.</w:t>
      </w:r>
    </w:p>
    <w:p w:rsidR="007C546E" w:rsidRDefault="005033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Данный показатель достигнут в рамках реализации Федерального закона от 21 июля 2007 года № 185</w:t>
      </w:r>
      <w:r>
        <w:rPr>
          <w:rFonts w:ascii="Times New Roman" w:hAnsi="Times New Roman" w:cs="Times New Roman"/>
          <w:sz w:val="28"/>
          <w:szCs w:val="28"/>
        </w:rPr>
        <w:noBreakHyphen/>
        <w:t>ФЗ «О Фонде содействия реформиро</w:t>
      </w:r>
      <w:r>
        <w:rPr>
          <w:rFonts w:ascii="Times New Roman" w:hAnsi="Times New Roman" w:cs="Times New Roman"/>
          <w:sz w:val="28"/>
          <w:szCs w:val="28"/>
        </w:rPr>
        <w:t>ванию жилищно-коммунального хозяйства» в целях соблюдения условий предоставления финансовой поддержки за счет средств Фонда. Из 712 многоквартирных домов Белокалитвинского района все собственники домов выбрали и реализуют один из способов управления многок</w:t>
      </w:r>
      <w:r>
        <w:rPr>
          <w:rFonts w:ascii="Times New Roman" w:hAnsi="Times New Roman" w:cs="Times New Roman"/>
          <w:sz w:val="28"/>
          <w:szCs w:val="28"/>
        </w:rPr>
        <w:t>вартирными домами.</w:t>
      </w:r>
    </w:p>
    <w:p w:rsidR="007C546E" w:rsidRDefault="0050337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прогнозируемый период на 2016-2018 годы показатель не будет снижаться, </w:t>
      </w:r>
      <w:r>
        <w:rPr>
          <w:rFonts w:ascii="Times New Roman" w:hAnsi="Times New Roman" w:cs="Times New Roman"/>
          <w:sz w:val="28"/>
          <w:szCs w:val="28"/>
        </w:rPr>
        <w:t xml:space="preserve">за счет проведения активной разъяснительной работы с собственниками жилья. </w:t>
      </w:r>
    </w:p>
    <w:p w:rsidR="007C546E" w:rsidRDefault="007C546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7C546E" w:rsidRDefault="005033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Показатель 28. Доля организаций коммунального комплекса, осуществляющих производство </w:t>
      </w:r>
      <w:r>
        <w:rPr>
          <w:rFonts w:ascii="Times New Roman" w:hAnsi="Times New Roman" w:cs="Times New Roman"/>
          <w:b/>
          <w:sz w:val="28"/>
          <w:szCs w:val="28"/>
        </w:rPr>
        <w:t>товаров, оказание услуг по водо-, тепло-, газо-, электроснабжению, водоотведению, очистке сточных вод, утилизации (захоронению) твердых бытовых отходов и использующих объекты коммунальной инфраструктуры на праве частной собственности, по договору аренды ил</w:t>
      </w:r>
      <w:r>
        <w:rPr>
          <w:rFonts w:ascii="Times New Roman" w:hAnsi="Times New Roman" w:cs="Times New Roman"/>
          <w:b/>
          <w:sz w:val="28"/>
          <w:szCs w:val="28"/>
        </w:rPr>
        <w:t xml:space="preserve">и концессии, участие субъекта Российской Федерации и (или) городского округа (муниципального района) в уставном капитале которых </w:t>
      </w:r>
      <w:r>
        <w:rPr>
          <w:rFonts w:ascii="Times New Roman" w:hAnsi="Times New Roman" w:cs="Times New Roman"/>
          <w:b/>
          <w:sz w:val="28"/>
          <w:szCs w:val="28"/>
        </w:rPr>
        <w:lastRenderedPageBreak/>
        <w:t>составляет не более 25 , в общем числе организаций коммунального комплекса, осуществляющих свою деятельность на территории горо</w:t>
      </w:r>
      <w:r>
        <w:rPr>
          <w:rFonts w:ascii="Times New Roman" w:hAnsi="Times New Roman" w:cs="Times New Roman"/>
          <w:b/>
          <w:sz w:val="28"/>
          <w:szCs w:val="28"/>
        </w:rPr>
        <w:t>дского округа (муниципального района).</w:t>
      </w:r>
    </w:p>
    <w:p w:rsidR="007C546E" w:rsidRDefault="0050337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отчетном 2015 году данный показатель составил 84,60% и снизился </w:t>
      </w:r>
      <w:r>
        <w:rPr>
          <w:rFonts w:ascii="Times New Roman" w:hAnsi="Times New Roman" w:cs="Times New Roman"/>
          <w:color w:val="111111"/>
          <w:sz w:val="28"/>
          <w:szCs w:val="28"/>
        </w:rPr>
        <w:t>на 3,63 процентных пункта по отношению к 2014 году в связи с определением гарантирующего поставщика сжиженного газа ООО «Ростгаз» и прекращением</w:t>
      </w:r>
      <w:r>
        <w:rPr>
          <w:rFonts w:ascii="Times New Roman" w:hAnsi="Times New Roman" w:cs="Times New Roman"/>
          <w:sz w:val="28"/>
          <w:szCs w:val="28"/>
        </w:rPr>
        <w:t xml:space="preserve"> деятел</w:t>
      </w:r>
      <w:r>
        <w:rPr>
          <w:rFonts w:ascii="Times New Roman" w:hAnsi="Times New Roman" w:cs="Times New Roman"/>
          <w:sz w:val="28"/>
          <w:szCs w:val="28"/>
        </w:rPr>
        <w:t>ьности трех газоснабжающих организаций-поставщиков сжиженного газа на территории Белокалитивнского района. В плановом периоде 2016-2018 годов указанный показатель к увеличению не планируется.</w:t>
      </w:r>
    </w:p>
    <w:p w:rsidR="007C546E" w:rsidRDefault="007C546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C546E" w:rsidRDefault="0050337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Показатель 29. Доля многоквартирных домов, расположенных на зем</w:t>
      </w:r>
      <w:r>
        <w:rPr>
          <w:rFonts w:ascii="Times New Roman" w:hAnsi="Times New Roman" w:cs="Times New Roman"/>
          <w:b/>
          <w:bCs/>
          <w:sz w:val="28"/>
          <w:szCs w:val="28"/>
        </w:rPr>
        <w:t>ельных участках, в отношении которых осуществлен государственный кадастровый учет.</w:t>
      </w:r>
    </w:p>
    <w:p w:rsidR="007C546E" w:rsidRDefault="0050337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 отчетном периоде доля многоквартирных домов, расположенных на земельных участках, в отношении которых осуществлен государственный кадастровый учет, увеличилась на 1 процен</w:t>
      </w:r>
      <w:r>
        <w:rPr>
          <w:rFonts w:ascii="Times New Roman" w:hAnsi="Times New Roman" w:cs="Times New Roman"/>
          <w:bCs/>
          <w:sz w:val="28"/>
          <w:szCs w:val="28"/>
        </w:rPr>
        <w:t>тный пункт и составила в 2015 году 73%.</w:t>
      </w:r>
    </w:p>
    <w:p w:rsidR="007C546E" w:rsidRDefault="0050337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 2016-2018 годах планируется увеличение значения показателя также на 1 процентный пункт и доведение в 2016 году до 74%, в 2017 году - до 75%, в 2018 году до 76% в результате проведения работы по постановке на кадаст</w:t>
      </w:r>
      <w:r>
        <w:rPr>
          <w:rFonts w:ascii="Times New Roman" w:hAnsi="Times New Roman" w:cs="Times New Roman"/>
          <w:bCs/>
          <w:sz w:val="28"/>
          <w:szCs w:val="28"/>
        </w:rPr>
        <w:t>ровый учет земельных участков под многоквартирными жилыми домами.</w:t>
      </w:r>
    </w:p>
    <w:p w:rsidR="007C546E" w:rsidRDefault="007C546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C546E" w:rsidRDefault="005033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Показатель 30. Доля населения, получившего жилые помещения и улучшившего жилищные условия в отчетном году, в общей численности населения, состоящего на учете в качестве нуждающегося в жилых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помещениях.</w:t>
      </w:r>
    </w:p>
    <w:p w:rsidR="007C546E" w:rsidRDefault="005033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Доля населения, получившего жилые помещения и улучшившего жилищные условия, в 2014 году составила 8,52%, в 2015 году - 9,75%. Увеличение показателя в отчетном году обусловлено выделением дополнительных средств на реализацию мероприятий по пере</w:t>
      </w:r>
      <w:r>
        <w:rPr>
          <w:rFonts w:ascii="Times New Roman" w:hAnsi="Times New Roman" w:cs="Times New Roman"/>
          <w:sz w:val="28"/>
          <w:szCs w:val="28"/>
        </w:rPr>
        <w:t>селению граждан из аварийного жилищного фонда за счет областных средств.</w:t>
      </w:r>
    </w:p>
    <w:p w:rsidR="007C546E" w:rsidRDefault="005033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прогнозируемых периодах 2016-2018 годов этот показатель планируется на уровне 6,72%, 6,55% и 3,50% соответственно, что обусловлено завершением реализации в указанный период регионал</w:t>
      </w:r>
      <w:r>
        <w:rPr>
          <w:rFonts w:ascii="Times New Roman" w:hAnsi="Times New Roman" w:cs="Times New Roman"/>
          <w:sz w:val="28"/>
          <w:szCs w:val="28"/>
        </w:rPr>
        <w:t>ьных программ по переселению граждан из аварийного жилищного фонда, так как в указанном периоде происходит отселение аварийных домов, признанных таковыми до 01.01.2012 года. К 2018 году также планируется обеспечить жильем ветеранов Великой Отечественной во</w:t>
      </w:r>
      <w:r>
        <w:rPr>
          <w:rFonts w:ascii="Times New Roman" w:hAnsi="Times New Roman" w:cs="Times New Roman"/>
          <w:sz w:val="28"/>
          <w:szCs w:val="28"/>
        </w:rPr>
        <w:t xml:space="preserve">йны в полном объеме. </w:t>
      </w:r>
    </w:p>
    <w:p w:rsidR="007C546E" w:rsidRDefault="0050337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Значения показателя на прогнозируемый период могут значительно увеличиться при условии реализации мероприятий по переселению граждан из аварийного жилищного фонда, признанного таковым после 01.01.2012 года.</w:t>
      </w:r>
    </w:p>
    <w:p w:rsidR="007C546E" w:rsidRDefault="007C546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C546E" w:rsidRDefault="0050337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VIII. Организация муниципа</w:t>
      </w:r>
      <w:r>
        <w:rPr>
          <w:rFonts w:ascii="Times New Roman" w:hAnsi="Times New Roman" w:cs="Times New Roman"/>
          <w:b/>
          <w:sz w:val="28"/>
          <w:szCs w:val="28"/>
        </w:rPr>
        <w:t>льного управления</w:t>
      </w:r>
    </w:p>
    <w:p w:rsidR="007C546E" w:rsidRDefault="007C546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C546E" w:rsidRDefault="0050337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Показатель 31. Доля налоговых и неналоговых доходов местного бюджета (за исключением поступлений налоговых доходов по дополнительным нормативам отчислений) в общем объеме собственных доходов бюджета муниципального образования (без учета </w:t>
      </w:r>
      <w:r>
        <w:rPr>
          <w:rFonts w:ascii="Times New Roman" w:hAnsi="Times New Roman" w:cs="Times New Roman"/>
          <w:b/>
          <w:bCs/>
          <w:sz w:val="28"/>
          <w:szCs w:val="28"/>
        </w:rPr>
        <w:t>субвенций).</w:t>
      </w:r>
    </w:p>
    <w:p w:rsidR="007C546E" w:rsidRDefault="005033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Доля налоговых и неналоговых </w:t>
      </w:r>
      <w:r>
        <w:rPr>
          <w:rFonts w:ascii="Times New Roman" w:hAnsi="Times New Roman" w:cs="Times New Roman"/>
          <w:sz w:val="28"/>
          <w:szCs w:val="28"/>
        </w:rPr>
        <w:t xml:space="preserve">доходов бюджета Белокалитвинского района в общем объеме собственных доходов бюджета района в 2015 году составила 16,56%. </w:t>
      </w:r>
    </w:p>
    <w:p w:rsidR="007C546E" w:rsidRDefault="0050337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Налоговые и неналоговые доходы без учета поступлений налога на доходы физических лиц по дополнительному нормативу увеличились в 2015 году на 35,00%, а безвозмездные поступления возросли на 3,9% к уровню предыдущего года. </w:t>
      </w:r>
    </w:p>
    <w:p w:rsidR="007C546E" w:rsidRDefault="005033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 2016 году доля собственных </w:t>
      </w:r>
      <w:r>
        <w:rPr>
          <w:rFonts w:ascii="Times New Roman" w:hAnsi="Times New Roman" w:cs="Times New Roman"/>
          <w:bCs/>
          <w:sz w:val="28"/>
          <w:szCs w:val="28"/>
        </w:rPr>
        <w:t>доходов в общем объеме доходов прогнозируется в размере 16,11%. Снижение по сравнению с 2015 годом связано  с уменьшением безвозмездных поступлений (-0,8%).</w:t>
      </w:r>
    </w:p>
    <w:p w:rsidR="007C546E" w:rsidRDefault="0050337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2017 году удельный вес собственных доходов в общих доходах бюджета района прогнозируется в размер</w:t>
      </w:r>
      <w:r>
        <w:rPr>
          <w:rFonts w:ascii="Times New Roman" w:hAnsi="Times New Roman" w:cs="Times New Roman"/>
          <w:sz w:val="28"/>
          <w:szCs w:val="28"/>
        </w:rPr>
        <w:t>е 29,14%, что связано с более высоким темпом роста собственных доходов (+10,3%) и почти в два раза снижением безвозмездных поступлений.</w:t>
      </w:r>
    </w:p>
    <w:p w:rsidR="007C546E" w:rsidRDefault="007C546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C546E" w:rsidRDefault="005033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Показатель 32. Доля основных фондов организаций муниципальной формы собственности, находящихся в стадии банкротства, в </w:t>
      </w:r>
      <w:r>
        <w:rPr>
          <w:rFonts w:ascii="Times New Roman" w:hAnsi="Times New Roman" w:cs="Times New Roman"/>
          <w:b/>
          <w:bCs/>
          <w:sz w:val="28"/>
          <w:szCs w:val="28"/>
        </w:rPr>
        <w:t>основных фондах организаций муниципальной формы собственности (на конец года по полной учетной стоимости).</w:t>
      </w:r>
    </w:p>
    <w:p w:rsidR="007C546E" w:rsidRDefault="0050337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Организаций муниципальной формы собственности, находящихся в стадии банкротства, в Белокалитвинском районе нет.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7C546E" w:rsidRDefault="007C546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C546E" w:rsidRDefault="005033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Показатель 33. Объем не завершенног</w:t>
      </w:r>
      <w:r>
        <w:rPr>
          <w:rFonts w:ascii="Times New Roman" w:hAnsi="Times New Roman" w:cs="Times New Roman"/>
          <w:b/>
          <w:bCs/>
          <w:sz w:val="28"/>
          <w:szCs w:val="28"/>
        </w:rPr>
        <w:t>о в установленные сроки строительства, осуществляемого за счет средств бюджета городского округа (муниципального района).</w:t>
      </w:r>
    </w:p>
    <w:p w:rsidR="007C546E" w:rsidRDefault="005033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Объем не завершенного в установленные сроки строительства, осуществляемого за счет средств бюджета Белокалитвинского района  в 2015 го</w:t>
      </w:r>
      <w:r>
        <w:rPr>
          <w:rFonts w:ascii="Times New Roman" w:hAnsi="Times New Roman" w:cs="Times New Roman"/>
          <w:sz w:val="28"/>
          <w:szCs w:val="28"/>
        </w:rPr>
        <w:t xml:space="preserve">ду, составил 1790,47 тыс.рублей и сложился по объекту: «Подъезд от а/д ММ 61-89  «Подъезд от а/д «г.Белая Калитва (от а/д г.Белая Калитва - х.Апанасовка - п.Тацинский) к х.Нижнепопов, к х.Дороговский».  </w:t>
      </w:r>
    </w:p>
    <w:p w:rsidR="007C546E" w:rsidRDefault="0050337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2016-2018 годах объемы незавершенного строительств</w:t>
      </w:r>
      <w:r>
        <w:rPr>
          <w:rFonts w:ascii="Times New Roman" w:hAnsi="Times New Roman" w:cs="Times New Roman"/>
          <w:sz w:val="28"/>
          <w:szCs w:val="28"/>
        </w:rPr>
        <w:t>а не планируются.</w:t>
      </w:r>
    </w:p>
    <w:p w:rsidR="007C546E" w:rsidRDefault="007C546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C546E" w:rsidRDefault="0050337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Показатель 34. Доля просроченной кредиторской задолженности по оплате труда (включая начисления на оплату труда) муниципальных учреждений в общем объеме расходов муниципального образования на оплату труда (включая начисления на оплату тр</w:t>
      </w:r>
      <w:r>
        <w:rPr>
          <w:rFonts w:ascii="Times New Roman" w:hAnsi="Times New Roman" w:cs="Times New Roman"/>
          <w:b/>
          <w:bCs/>
          <w:sz w:val="28"/>
          <w:szCs w:val="28"/>
        </w:rPr>
        <w:t>уда).</w:t>
      </w:r>
    </w:p>
    <w:p w:rsidR="007C546E" w:rsidRDefault="0050337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Просроченная к</w:t>
      </w:r>
      <w:r>
        <w:rPr>
          <w:rFonts w:ascii="Times New Roman" w:hAnsi="Times New Roman" w:cs="Times New Roman"/>
          <w:sz w:val="28"/>
          <w:szCs w:val="28"/>
        </w:rPr>
        <w:t>редиторская задолженность по оплате труда (включая начисления на оплату труда) муниципальных бюджетных учреждений Белокалитвинского района отсутствует. В прогнозируемом периоде данная тенденция сохранится.</w:t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7C546E" w:rsidRDefault="007C546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C546E" w:rsidRDefault="005033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Показатель 35. Расходы бюдже</w:t>
      </w:r>
      <w:r>
        <w:rPr>
          <w:rFonts w:ascii="Times New Roman" w:hAnsi="Times New Roman" w:cs="Times New Roman"/>
          <w:b/>
          <w:bCs/>
          <w:sz w:val="28"/>
          <w:szCs w:val="28"/>
        </w:rPr>
        <w:t>та муниципального образования на содержание работников органов местного самоуправления в расчете на одного жителя муниципального образования.</w:t>
      </w:r>
    </w:p>
    <w:p w:rsidR="007C546E" w:rsidRDefault="0050337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Расходы бюджета муниципального образования на содержание работников органов местного самоуправления в расчете на о</w:t>
      </w:r>
      <w:r>
        <w:rPr>
          <w:rFonts w:ascii="Times New Roman" w:hAnsi="Times New Roman" w:cs="Times New Roman"/>
          <w:sz w:val="28"/>
          <w:szCs w:val="28"/>
        </w:rPr>
        <w:t>дного жителя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Белокалитвинского района составили </w:t>
      </w:r>
      <w:r>
        <w:rPr>
          <w:rFonts w:ascii="Times New Roman" w:hAnsi="Times New Roman" w:cs="Times New Roman"/>
          <w:bCs/>
          <w:sz w:val="28"/>
          <w:szCs w:val="28"/>
        </w:rPr>
        <w:t>в 2015 году</w:t>
      </w:r>
      <w:r>
        <w:rPr>
          <w:rFonts w:ascii="Times New Roman" w:hAnsi="Times New Roman" w:cs="Times New Roman"/>
          <w:sz w:val="28"/>
          <w:szCs w:val="28"/>
        </w:rPr>
        <w:t xml:space="preserve"> 737,15 рублей и по отношению к 2014 году уменьшились</w:t>
      </w:r>
      <w:r>
        <w:rPr>
          <w:rFonts w:ascii="Times New Roman" w:hAnsi="Times New Roman" w:cs="Times New Roman"/>
          <w:bCs/>
          <w:sz w:val="28"/>
          <w:szCs w:val="28"/>
        </w:rPr>
        <w:t xml:space="preserve"> на 0,04%. </w:t>
      </w:r>
      <w:r>
        <w:rPr>
          <w:rFonts w:ascii="Times New Roman" w:hAnsi="Times New Roman" w:cs="Times New Roman"/>
          <w:sz w:val="28"/>
          <w:szCs w:val="28"/>
        </w:rPr>
        <w:t xml:space="preserve">Уменьшение объема расходов на содержание органов местного самоуправления в 2015 году связано с сокращением штатной численности </w:t>
      </w:r>
      <w:r>
        <w:rPr>
          <w:rFonts w:ascii="Times New Roman" w:hAnsi="Times New Roman" w:cs="Times New Roman"/>
          <w:sz w:val="28"/>
          <w:szCs w:val="28"/>
        </w:rPr>
        <w:lastRenderedPageBreak/>
        <w:t>по Соб</w:t>
      </w:r>
      <w:r>
        <w:rPr>
          <w:rFonts w:ascii="Times New Roman" w:hAnsi="Times New Roman" w:cs="Times New Roman"/>
          <w:sz w:val="28"/>
          <w:szCs w:val="28"/>
        </w:rPr>
        <w:t>ранию депутатов Белокалитвинского района, согласно изменениям, внесенным в Устав Белокалитвинского района.</w:t>
      </w:r>
    </w:p>
    <w:p w:rsidR="007C546E" w:rsidRDefault="0050337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 прогнозируемом периоде планируется рост показателя: в 2016 году - на 3,2%, в 2017 году - на 2,06%, в 2018 году - на 1,31%.</w:t>
      </w:r>
      <w:r>
        <w:rPr>
          <w:rFonts w:ascii="Times New Roman" w:hAnsi="Times New Roman" w:cs="Times New Roman"/>
          <w:sz w:val="28"/>
          <w:szCs w:val="28"/>
        </w:rPr>
        <w:t xml:space="preserve"> Увеличение расходов в 20</w:t>
      </w:r>
      <w:r>
        <w:rPr>
          <w:rFonts w:ascii="Times New Roman" w:hAnsi="Times New Roman" w:cs="Times New Roman"/>
          <w:sz w:val="28"/>
          <w:szCs w:val="28"/>
        </w:rPr>
        <w:t>16-2017 годах связано с созданием контрольно-счетной инспекции Белокалитвинского района  на основании решения Собрания депутатов Белокалитвинского района от 27.08.2015 года №23 «О создании контрольно-счетной инспекции Белокалитвинского района».</w:t>
      </w:r>
    </w:p>
    <w:p w:rsidR="007C546E" w:rsidRDefault="007C546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C546E" w:rsidRDefault="005033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Показатель</w:t>
      </w:r>
      <w:r>
        <w:rPr>
          <w:rFonts w:ascii="Times New Roman" w:hAnsi="Times New Roman" w:cs="Times New Roman"/>
          <w:b/>
          <w:sz w:val="28"/>
          <w:szCs w:val="28"/>
        </w:rPr>
        <w:t xml:space="preserve"> 36. Наличие в городском округе (муниципальном районе) утвержденного генерального плана городского округа (схемы территориального планирования муниципального района).</w:t>
      </w:r>
    </w:p>
    <w:p w:rsidR="007C546E" w:rsidRDefault="0050337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Схема территориального планирования муниципального района утверждена решением Собрания де</w:t>
      </w:r>
      <w:r>
        <w:rPr>
          <w:rFonts w:ascii="Times New Roman" w:hAnsi="Times New Roman" w:cs="Times New Roman"/>
          <w:sz w:val="28"/>
          <w:szCs w:val="28"/>
        </w:rPr>
        <w:t>путатов Белокалитвинского района от  14.12.2011 № 107 «Об утверждении схемы территориального планирования Белокалитвинского района».</w:t>
      </w:r>
    </w:p>
    <w:p w:rsidR="007C546E" w:rsidRDefault="007C546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7C546E" w:rsidRDefault="0050337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Показатель 37.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Удовлетворенность населения деятельностью органов местного самоуправления городского округа (муниципального района), в том  числе их информационной открытостью.     </w:t>
      </w:r>
    </w:p>
    <w:p w:rsidR="007C546E" w:rsidRDefault="0050337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По итогам 2015 года 58% населения Белокалитвинского района от опрошенных удовлетворены де</w:t>
      </w:r>
      <w:r>
        <w:rPr>
          <w:rFonts w:ascii="Times New Roman" w:hAnsi="Times New Roman" w:cs="Times New Roman"/>
          <w:color w:val="000000"/>
          <w:sz w:val="28"/>
          <w:szCs w:val="28"/>
        </w:rPr>
        <w:t>ятельностью органов местного самоуправления района. По сравнению с 2014 годом показатель вырос на 8 процентных пункта.</w:t>
      </w:r>
    </w:p>
    <w:p w:rsidR="007C546E" w:rsidRDefault="0050337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В 2015 году с целью увеличения данного показателя был разработан план  мероприятий, касающихся всех сфер </w:t>
      </w:r>
      <w:r>
        <w:rPr>
          <w:rFonts w:ascii="Times New Roman" w:hAnsi="Times New Roman" w:cs="Times New Roman"/>
          <w:color w:val="000000"/>
          <w:sz w:val="28"/>
          <w:szCs w:val="28"/>
        </w:rPr>
        <w:t>деятельности администрации райо</w:t>
      </w:r>
      <w:r>
        <w:rPr>
          <w:rFonts w:ascii="Times New Roman" w:hAnsi="Times New Roman" w:cs="Times New Roman"/>
          <w:color w:val="000000"/>
          <w:sz w:val="28"/>
          <w:szCs w:val="28"/>
        </w:rPr>
        <w:t>на.</w:t>
      </w:r>
    </w:p>
    <w:p w:rsidR="007C546E" w:rsidRDefault="0050337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С целью расширения форм информирования населения района о деятельности органов местного самоуправления и решения вопросов по личным заявлениям граждан проводились следующие мероприятия:</w:t>
      </w:r>
    </w:p>
    <w:p w:rsidR="007C546E" w:rsidRDefault="0050337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- личные приемы граждан главой района (не реже 1 раза в месяц и по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мере необходимости) и заместителями главы администрации района. В отчётном периоде было принято 362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  <w:t xml:space="preserve"> человека,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поступило 1056 обращений. Среди общего количества обращений 694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- 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  <w:t>письменных, 362 - у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стных (в ходе проведения личных приемов). Анализ тематики об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ращений,  поступивших в администрацию района, показывает, что основную часть (56%) составляют вопросы</w:t>
      </w:r>
      <w:r>
        <w:rPr>
          <w:rFonts w:ascii="Times New Roman" w:hAnsi="Times New Roman" w:cs="Times New Roman"/>
          <w:b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жилищно - коммунального хозяйства;</w:t>
      </w:r>
    </w:p>
    <w:p w:rsidR="007C546E" w:rsidRDefault="0050337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- встречи с жителями поселений, входящих в состав Белокалитвинского района, информационных групп под руководством главы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района не реже 1 раза в полугодие. За 2015 год проведено 50 встреч информационных групп с  жителями района. В них приняли участие около 4 тысяч человек. Во время проведения встреч на все вопросы были даны подробные разъяснения, установлены сроки их решени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я, даны соответствующие поручения, 48 человек записались на личный прием к главе района и заместителям главы администрации района;</w:t>
      </w:r>
    </w:p>
    <w:p w:rsidR="007C546E" w:rsidRDefault="0050337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- отчеты главы района и глав поселений перед населением, публикация отчетов в общественно-политической газете «Перекресток»,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размещение на официальном сайте администрации района, освещение в программах телестудии «Майдан» и на «Авторадио».</w:t>
      </w:r>
    </w:p>
    <w:p w:rsidR="007C546E" w:rsidRDefault="0050337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- встречи главы района (ежеквартально) с руководителями и представителями политических партий, общественных организаций, религиозных национал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ьных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lastRenderedPageBreak/>
        <w:t>объединений по вопросам социально-экономического развития района, профилактике терроризма и экстремизма и другим актуальным вопросам.</w:t>
      </w:r>
    </w:p>
    <w:p w:rsidR="007C546E" w:rsidRDefault="0050337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на официальном сайте администрации Белокалитвинского района создана интернет-приемная для обеспечения дополнительно</w:t>
      </w:r>
      <w:r>
        <w:rPr>
          <w:rFonts w:ascii="Times New Roman" w:hAnsi="Times New Roman" w:cs="Times New Roman"/>
          <w:color w:val="000000"/>
          <w:sz w:val="28"/>
          <w:szCs w:val="28"/>
        </w:rPr>
        <w:t>й возможности обращения  граждан в администрацию района. За 2015 год через интернет-приемную было принято 47 обращений.</w:t>
      </w:r>
    </w:p>
    <w:p w:rsidR="007C546E" w:rsidRDefault="0050337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Администрация района нацелена на дальнейшую эффективную работу в прогнозируемом периоде, и в связи с этим, предполагается увеличить проц</w:t>
      </w:r>
      <w:r>
        <w:rPr>
          <w:rFonts w:ascii="Times New Roman" w:hAnsi="Times New Roman" w:cs="Times New Roman"/>
          <w:color w:val="000000"/>
          <w:sz w:val="28"/>
          <w:szCs w:val="28"/>
        </w:rPr>
        <w:t>ент по данному показателю до 59,5% к 2018 году.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</w:p>
    <w:p w:rsidR="007C546E" w:rsidRDefault="007C546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C546E" w:rsidRDefault="005033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Показатель 38. Среднегодовая численность постоянного населения. </w:t>
      </w:r>
    </w:p>
    <w:p w:rsidR="007C546E" w:rsidRDefault="005033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Среднегодовая численность населения Белокалитвинского района в 2015 году по оценочным данным снизилась на 1,3 тыс.человек и составила 95,1 ты</w:t>
      </w:r>
      <w:r>
        <w:rPr>
          <w:rFonts w:ascii="Times New Roman" w:hAnsi="Times New Roman" w:cs="Times New Roman"/>
          <w:sz w:val="28"/>
          <w:szCs w:val="28"/>
        </w:rPr>
        <w:t>с.человек, ожидается в 2016 году - 93,9 тыс.человек, в 2017-2018 годах - 92,7 и 91,5 тыс.человек соответственно.</w:t>
      </w:r>
    </w:p>
    <w:p w:rsidR="007C546E" w:rsidRDefault="0050337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Данный темп снижения численности отражает тенденции естественной убыли и миграции населения.</w:t>
      </w:r>
    </w:p>
    <w:p w:rsidR="007C546E" w:rsidRDefault="007C546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546E" w:rsidRDefault="0050337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IX. Энергосбережение и повышение энергетической </w:t>
      </w:r>
      <w:r>
        <w:rPr>
          <w:rFonts w:ascii="Times New Roman" w:hAnsi="Times New Roman" w:cs="Times New Roman"/>
          <w:b/>
          <w:sz w:val="28"/>
          <w:szCs w:val="28"/>
        </w:rPr>
        <w:t>эффективности</w:t>
      </w:r>
    </w:p>
    <w:p w:rsidR="007C546E" w:rsidRDefault="007C546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546E" w:rsidRDefault="005033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Показатель 39. Удельная величина потребления энергетических ресурсов в многоквартирных домах. </w:t>
      </w:r>
    </w:p>
    <w:p w:rsidR="007C546E" w:rsidRDefault="005033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Показатель удельной величины потребления электроэнергии в многоквартирных домах  в 2015 году не изменился и составляет 636,80 кВт/ч на одного прож</w:t>
      </w:r>
      <w:r>
        <w:rPr>
          <w:rFonts w:ascii="Times New Roman" w:hAnsi="Times New Roman" w:cs="Times New Roman"/>
          <w:sz w:val="28"/>
          <w:szCs w:val="28"/>
        </w:rPr>
        <w:t xml:space="preserve">ивающего. </w:t>
      </w:r>
    </w:p>
    <w:p w:rsidR="007C546E" w:rsidRDefault="005033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планируемые 2016-2018 годы показатель удельной величины потребления электроэнергии в многоквартирных домах не планируется к увеличению в связи с применением энергосберегающих технологий.</w:t>
      </w:r>
    </w:p>
    <w:p w:rsidR="007C546E" w:rsidRDefault="005033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Показатель удельной величины потребления тепловой энерги</w:t>
      </w:r>
      <w:r>
        <w:rPr>
          <w:rFonts w:ascii="Times New Roman" w:hAnsi="Times New Roman" w:cs="Times New Roman"/>
          <w:sz w:val="28"/>
          <w:szCs w:val="28"/>
        </w:rPr>
        <w:t xml:space="preserve">и в многоквартирных домах не изменился и составляет 0,15 Гкал на 1 кв.метр. </w:t>
      </w:r>
    </w:p>
    <w:p w:rsidR="007C546E" w:rsidRDefault="005033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прогнозируемый период показатель принимается 0,15 Гкал/ на 1 кв.метр в год.</w:t>
      </w:r>
    </w:p>
    <w:p w:rsidR="007C546E" w:rsidRDefault="005033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Показатель удельной величины потребления воды в многоквартирных домах  в 2015 году не изменился и с</w:t>
      </w:r>
      <w:r>
        <w:rPr>
          <w:rFonts w:ascii="Times New Roman" w:hAnsi="Times New Roman" w:cs="Times New Roman"/>
          <w:sz w:val="28"/>
          <w:szCs w:val="28"/>
        </w:rPr>
        <w:t xml:space="preserve">оставляет  17,47 куб. метров на 1 проживающего. </w:t>
      </w:r>
    </w:p>
    <w:p w:rsidR="007C546E" w:rsidRDefault="005033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Данный показатель не планируется к увеличению. </w:t>
      </w:r>
    </w:p>
    <w:p w:rsidR="007C546E" w:rsidRDefault="005033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Показатель удельной величины потребления газа в многоквартирных домах не изменился и составляет 158,68 куб. метров  на 1 проживающего в 2015 году. </w:t>
      </w:r>
    </w:p>
    <w:p w:rsidR="007C546E" w:rsidRDefault="0050337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Данный пока</w:t>
      </w:r>
      <w:r>
        <w:rPr>
          <w:rFonts w:ascii="Times New Roman" w:hAnsi="Times New Roman" w:cs="Times New Roman"/>
          <w:sz w:val="28"/>
          <w:szCs w:val="28"/>
        </w:rPr>
        <w:t xml:space="preserve">затель не планируется к увеличению. </w:t>
      </w:r>
    </w:p>
    <w:p w:rsidR="007C546E" w:rsidRDefault="007C546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C546E" w:rsidRDefault="005033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Показатель 40. Удельная величина потребления энергетических ресурсов муниципальными бюджетными учреждениями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C546E" w:rsidRDefault="005033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2015 году отмечено увеличение удельной величины потребления электрической энергии муниципальными бюджетными учреждениями на 1,17 процентных пункта в сравнении с 2014 годом, что обусловлено открытием и вводом в эксплуатацию трех модульных детских садов (М</w:t>
      </w:r>
      <w:r>
        <w:rPr>
          <w:rFonts w:ascii="Times New Roman" w:hAnsi="Times New Roman" w:cs="Times New Roman"/>
          <w:sz w:val="28"/>
          <w:szCs w:val="28"/>
        </w:rPr>
        <w:t xml:space="preserve">БДОУ детский сад №17 «Василек» на 25 мест, МБДОУ детский сад №43 «Колобок» на 50 мест, МБДОУ детский сад №58 «Росинка» на 25 мест), а также вводом в эксплуатацию после </w:t>
      </w:r>
      <w:r>
        <w:rPr>
          <w:rFonts w:ascii="Times New Roman" w:hAnsi="Times New Roman" w:cs="Times New Roman"/>
          <w:sz w:val="28"/>
          <w:szCs w:val="28"/>
        </w:rPr>
        <w:lastRenderedPageBreak/>
        <w:t>завершения капитального ремонта МБДОУ детский сад №42 «Дюймовочка». В плановом периоде 2</w:t>
      </w:r>
      <w:r>
        <w:rPr>
          <w:rFonts w:ascii="Times New Roman" w:hAnsi="Times New Roman" w:cs="Times New Roman"/>
          <w:sz w:val="28"/>
          <w:szCs w:val="28"/>
        </w:rPr>
        <w:t>016-2018 годов планируется стабилизация удельной величины потребления электроэнергии муниципальными бюджетными учреждениями на уровне 2015 года (51,57 кВт/ч на 1 человека населения) в связи с реализацией положений Федерального закона от 23.11.2009 № 261-ФЗ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C546E" w:rsidRDefault="005033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Значение показателя «Удельная величина потребления тепловой энергии муниципальными бюджетными учреждениями» осталось на уровне 2014 года (0,02 Гкал на 1 кв. метр общей площади). В плановом периоде 2016-2018 годов показатель не планируется к увеличению. </w:t>
      </w:r>
      <w:r>
        <w:rPr>
          <w:rFonts w:ascii="Times New Roman" w:hAnsi="Times New Roman" w:cs="Times New Roman"/>
          <w:sz w:val="28"/>
          <w:szCs w:val="28"/>
        </w:rPr>
        <w:t>Сохранение удельной величины потребления тепловой энергии на один кв.м связано с установлением приборов учета тепловой энергии в зданиях бюджетных учреждений.</w:t>
      </w:r>
    </w:p>
    <w:p w:rsidR="007C546E" w:rsidRDefault="0050337A">
      <w:pPr>
        <w:tabs>
          <w:tab w:val="left" w:pos="84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2015 году отмечено снижение удельной величины потребления холодной воды муниципальными бюджетны</w:t>
      </w:r>
      <w:r>
        <w:rPr>
          <w:rFonts w:ascii="Times New Roman" w:hAnsi="Times New Roman" w:cs="Times New Roman"/>
          <w:sz w:val="28"/>
          <w:szCs w:val="28"/>
        </w:rPr>
        <w:t>ми учреждениями, что связано с реализацией бюджетными учреждениями ряда энергосберегающих мероприятий. В плановом периоде 2016-2018 годов показатель не планируется к увеличению.</w:t>
      </w:r>
    </w:p>
    <w:p w:rsidR="007C546E" w:rsidRDefault="0050337A">
      <w:pPr>
        <w:tabs>
          <w:tab w:val="left" w:pos="1080"/>
        </w:tabs>
        <w:spacing w:after="0" w:line="240" w:lineRule="auto"/>
        <w:ind w:firstLine="709"/>
        <w:jc w:val="both"/>
        <w:rPr>
          <w:color w:val="FF0000"/>
        </w:rPr>
      </w:pPr>
      <w:r>
        <w:rPr>
          <w:rFonts w:ascii="Times New Roman" w:hAnsi="Times New Roman" w:cs="Times New Roman"/>
          <w:sz w:val="28"/>
          <w:szCs w:val="28"/>
        </w:rPr>
        <w:t>Увеличение показателя удельной величины потребления природного газа на 0,49 ку</w:t>
      </w:r>
      <w:r>
        <w:rPr>
          <w:rFonts w:ascii="Times New Roman" w:hAnsi="Times New Roman" w:cs="Times New Roman"/>
          <w:sz w:val="28"/>
          <w:szCs w:val="28"/>
        </w:rPr>
        <w:t>б. метров на 1 человека населения произошло вследствие газификации в 2015 году трех общеобразовательных учреждений (МБДОУ детский сад №58 «Росинка», МБДОУ детский сад №59 «Ромашка», МБУ ДО ДЮСШ №3) и двух учреждений культуры (МБУ ДО «Детская музыкальная шк</w:t>
      </w:r>
      <w:r>
        <w:rPr>
          <w:rFonts w:ascii="Times New Roman" w:hAnsi="Times New Roman" w:cs="Times New Roman"/>
          <w:sz w:val="28"/>
          <w:szCs w:val="28"/>
        </w:rPr>
        <w:t>ола х. Богураев», МБУК Богураевского сельского поселения «Богураевская клубная система»). В плановом периоде 2016-2018 годов  планируется увеличение удельной величины потребления природного газа муниципальными бюджетными учреждениями в связи с дальнейшей г</w:t>
      </w:r>
      <w:r>
        <w:rPr>
          <w:rFonts w:ascii="Times New Roman" w:hAnsi="Times New Roman" w:cs="Times New Roman"/>
          <w:sz w:val="28"/>
          <w:szCs w:val="28"/>
        </w:rPr>
        <w:t>азификацией и техническим перевооружением угольных котельных по использованию вида топлива «природный газ» вместо твердого топлива (угля): 2 2016 году - 4,97 куб. метров, в 2017 году - 5,26 куб. метров и в 2018 - 5,60 куб. метров.</w:t>
      </w:r>
    </w:p>
    <w:p w:rsidR="007C546E" w:rsidRDefault="007C546E">
      <w:pPr>
        <w:tabs>
          <w:tab w:val="left" w:pos="1080"/>
        </w:tabs>
        <w:spacing w:after="0" w:line="240" w:lineRule="auto"/>
        <w:jc w:val="both"/>
        <w:rPr>
          <w:color w:val="FF0000"/>
        </w:rPr>
      </w:pPr>
    </w:p>
    <w:p w:rsidR="007C546E" w:rsidRDefault="007C546E">
      <w:pPr>
        <w:tabs>
          <w:tab w:val="left" w:pos="1080"/>
        </w:tabs>
        <w:spacing w:after="0" w:line="240" w:lineRule="auto"/>
        <w:jc w:val="both"/>
        <w:rPr>
          <w:color w:val="FF0000"/>
        </w:rPr>
      </w:pPr>
    </w:p>
    <w:sectPr w:rsidR="007C546E" w:rsidSect="00083A05">
      <w:footerReference w:type="default" r:id="rId6"/>
      <w:pgSz w:w="11906" w:h="16838"/>
      <w:pgMar w:top="284" w:right="567" w:bottom="1412" w:left="1134" w:header="0" w:footer="454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337A" w:rsidRDefault="0050337A">
      <w:pPr>
        <w:spacing w:after="0" w:line="240" w:lineRule="auto"/>
      </w:pPr>
      <w:r>
        <w:separator/>
      </w:r>
    </w:p>
  </w:endnote>
  <w:endnote w:type="continuationSeparator" w:id="0">
    <w:p w:rsidR="0050337A" w:rsidRDefault="005033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546E" w:rsidRDefault="0050337A">
    <w:pPr>
      <w:pStyle w:val="af1"/>
      <w:jc w:val="right"/>
    </w:pPr>
    <w:r>
      <w:fldChar w:fldCharType="begin"/>
    </w:r>
    <w:r>
      <w:instrText>PAGE</w:instrText>
    </w:r>
    <w:r>
      <w:fldChar w:fldCharType="separate"/>
    </w:r>
    <w:r w:rsidR="00083A05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337A" w:rsidRDefault="0050337A">
      <w:pPr>
        <w:spacing w:after="0" w:line="240" w:lineRule="auto"/>
      </w:pPr>
      <w:r>
        <w:separator/>
      </w:r>
    </w:p>
  </w:footnote>
  <w:footnote w:type="continuationSeparator" w:id="0">
    <w:p w:rsidR="0050337A" w:rsidRDefault="0050337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isplayBackgroundShape/>
  <w:defaultTabStop w:val="4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C546E"/>
    <w:rsid w:val="00083A05"/>
    <w:rsid w:val="0050337A"/>
    <w:rsid w:val="007C5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1D0C70-13C3-4055-BAF2-8DC991299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Droid Sans Fallback" w:hAnsi="Times New Roman" w:cs="FreeSans"/>
        <w:sz w:val="24"/>
        <w:szCs w:val="24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eastAsia="Times New Roman" w:hAnsi="Calibri" w:cs="Calibri"/>
      <w:sz w:val="22"/>
      <w:szCs w:val="22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шрифт абзаца3"/>
    <w:qFormat/>
  </w:style>
  <w:style w:type="character" w:customStyle="1" w:styleId="2">
    <w:name w:val="Основной шрифт абзаца2"/>
    <w:qFormat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1">
    <w:name w:val="Основной шрифт абзаца1"/>
    <w:qFormat/>
  </w:style>
  <w:style w:type="character" w:customStyle="1" w:styleId="a3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qFormat/>
    <w:rPr>
      <w:sz w:val="22"/>
      <w:szCs w:val="22"/>
    </w:rPr>
  </w:style>
  <w:style w:type="character" w:customStyle="1" w:styleId="a5">
    <w:name w:val="Нижний колонтитул Знак"/>
    <w:qFormat/>
    <w:rPr>
      <w:sz w:val="22"/>
      <w:szCs w:val="22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Arial" w:eastAsia="Droid Sans Fallback" w:hAnsi="Arial" w:cs="FreeSans"/>
      <w:sz w:val="28"/>
      <w:szCs w:val="28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ascii="Times New Roman" w:hAnsi="Times New Roman" w:cs="FreeSans"/>
    </w:rPr>
  </w:style>
  <w:style w:type="paragraph" w:styleId="a9">
    <w:name w:val="Title"/>
    <w:basedOn w:val="a"/>
    <w:pPr>
      <w:suppressLineNumbers/>
      <w:spacing w:before="120" w:after="120"/>
    </w:pPr>
    <w:rPr>
      <w:rFonts w:ascii="Times New Roman" w:hAnsi="Times New Roman" w:cs="FreeSans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ascii="Times New Roman" w:hAnsi="Times New Roman" w:cs="FreeSans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ascii="Times New Roman" w:hAnsi="Times New Roman" w:cs="FreeSans"/>
      <w:i/>
      <w:iCs/>
      <w:sz w:val="24"/>
      <w:szCs w:val="24"/>
    </w:rPr>
  </w:style>
  <w:style w:type="paragraph" w:customStyle="1" w:styleId="30">
    <w:name w:val="Указатель3"/>
    <w:basedOn w:val="a"/>
    <w:qFormat/>
    <w:pPr>
      <w:suppressLineNumbers/>
    </w:pPr>
    <w:rPr>
      <w:rFonts w:ascii="Times New Roman" w:hAnsi="Times New Roman" w:cs="FreeSans"/>
    </w:rPr>
  </w:style>
  <w:style w:type="paragraph" w:customStyle="1" w:styleId="20">
    <w:name w:val="Название объекта2"/>
    <w:basedOn w:val="a"/>
    <w:qFormat/>
    <w:pPr>
      <w:suppressLineNumbers/>
      <w:spacing w:before="120" w:after="120"/>
    </w:pPr>
    <w:rPr>
      <w:rFonts w:ascii="Times New Roman" w:hAnsi="Times New Roman" w:cs="FreeSans"/>
      <w:i/>
      <w:iCs/>
      <w:sz w:val="24"/>
      <w:szCs w:val="24"/>
    </w:rPr>
  </w:style>
  <w:style w:type="paragraph" w:customStyle="1" w:styleId="21">
    <w:name w:val="Указатель2"/>
    <w:basedOn w:val="a"/>
    <w:qFormat/>
    <w:pPr>
      <w:suppressLineNumbers/>
    </w:pPr>
    <w:rPr>
      <w:rFonts w:ascii="Times New Roman" w:hAnsi="Times New Roman" w:cs="FreeSans"/>
    </w:rPr>
  </w:style>
  <w:style w:type="paragraph" w:customStyle="1" w:styleId="10">
    <w:name w:val="Название объекта1"/>
    <w:basedOn w:val="a"/>
    <w:qFormat/>
    <w:pPr>
      <w:suppressLineNumbers/>
      <w:spacing w:before="120" w:after="120"/>
    </w:pPr>
    <w:rPr>
      <w:rFonts w:ascii="Times New Roman" w:hAnsi="Times New Roman" w:cs="FreeSans"/>
      <w:i/>
      <w:iCs/>
      <w:sz w:val="24"/>
      <w:szCs w:val="24"/>
    </w:rPr>
  </w:style>
  <w:style w:type="paragraph" w:customStyle="1" w:styleId="11">
    <w:name w:val="Указатель1"/>
    <w:basedOn w:val="a"/>
    <w:qFormat/>
    <w:pPr>
      <w:suppressLineNumbers/>
    </w:pPr>
    <w:rPr>
      <w:rFonts w:ascii="Times New Roman" w:hAnsi="Times New Roman" w:cs="FreeSans"/>
    </w:rPr>
  </w:style>
  <w:style w:type="paragraph" w:customStyle="1" w:styleId="ac">
    <w:name w:val="Знак Знак Знак Знак Знак Знак Знак Знак Знак Знак Знак Знак"/>
    <w:basedOn w:val="a"/>
    <w:qFormat/>
    <w:pPr>
      <w:spacing w:before="280" w:after="280" w:line="240" w:lineRule="auto"/>
      <w:jc w:val="both"/>
    </w:pPr>
    <w:rPr>
      <w:rFonts w:ascii="Tahoma" w:hAnsi="Tahoma" w:cs="Times New Roman"/>
      <w:sz w:val="20"/>
      <w:szCs w:val="20"/>
      <w:lang w:val="en-US"/>
    </w:rPr>
  </w:style>
  <w:style w:type="paragraph" w:styleId="ad">
    <w:name w:val="List Paragraph"/>
    <w:basedOn w:val="a"/>
    <w:qFormat/>
    <w:pPr>
      <w:ind w:left="720"/>
      <w:contextualSpacing/>
    </w:pPr>
  </w:style>
  <w:style w:type="paragraph" w:styleId="ae">
    <w:name w:val="Balloon Text"/>
    <w:basedOn w:val="a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f">
    <w:name w:val="Знак Знак Знак Знак Знак Знак Знак Знак Знак"/>
    <w:basedOn w:val="a"/>
    <w:qFormat/>
    <w:pPr>
      <w:spacing w:before="280" w:after="280" w:line="240" w:lineRule="auto"/>
    </w:pPr>
    <w:rPr>
      <w:rFonts w:ascii="Tahoma" w:hAnsi="Tahoma" w:cs="Tahoma"/>
      <w:sz w:val="20"/>
      <w:szCs w:val="20"/>
      <w:lang w:val="en-US"/>
    </w:rPr>
  </w:style>
  <w:style w:type="paragraph" w:styleId="af0">
    <w:name w:val="header"/>
    <w:basedOn w:val="a"/>
    <w:pPr>
      <w:tabs>
        <w:tab w:val="center" w:pos="4677"/>
        <w:tab w:val="right" w:pos="9355"/>
      </w:tabs>
    </w:pPr>
  </w:style>
  <w:style w:type="paragraph" w:styleId="af1">
    <w:name w:val="footer"/>
    <w:basedOn w:val="a"/>
    <w:pPr>
      <w:tabs>
        <w:tab w:val="center" w:pos="4677"/>
        <w:tab w:val="right" w:pos="9355"/>
      </w:tabs>
    </w:pPr>
  </w:style>
  <w:style w:type="paragraph" w:customStyle="1" w:styleId="af2">
    <w:name w:val="Содержимое таблицы"/>
    <w:basedOn w:val="a"/>
    <w:qFormat/>
    <w:pPr>
      <w:suppressLineNumbers/>
    </w:pPr>
  </w:style>
  <w:style w:type="paragraph" w:customStyle="1" w:styleId="af3">
    <w:name w:val="Заголовок таблицы"/>
    <w:basedOn w:val="af2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5618</TotalTime>
  <Pages>15</Pages>
  <Words>6008</Words>
  <Characters>34249</Characters>
  <Application>Microsoft Office Word</Application>
  <DocSecurity>0</DocSecurity>
  <Lines>285</Lines>
  <Paragraphs>80</Paragraphs>
  <ScaleCrop>false</ScaleCrop>
  <Company/>
  <LinksUpToDate>false</LinksUpToDate>
  <CharactersWithSpaces>40177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513</dc:creator>
  <cp:lastModifiedBy>Сидоренко</cp:lastModifiedBy>
  <cp:revision>9</cp:revision>
  <cp:lastPrinted>2016-04-19T15:50:00Z</cp:lastPrinted>
  <dcterms:created xsi:type="dcterms:W3CDTF">2016-04-19T18:21:00Z</dcterms:created>
  <dcterms:modified xsi:type="dcterms:W3CDTF">2016-04-27T08:06:00Z</dcterms:modified>
  <dc:language>ru-RU</dc:language>
</cp:coreProperties>
</file>