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3146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04470" w:rsidP="00872883">
      <w:pPr>
        <w:spacing w:before="120"/>
        <w:rPr>
          <w:sz w:val="28"/>
        </w:rPr>
      </w:pPr>
      <w:r>
        <w:rPr>
          <w:sz w:val="28"/>
        </w:rPr>
        <w:t>10.05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396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  <w:bookmarkStart w:id="2" w:name="Наименование"/>
      <w:bookmarkEnd w:id="2"/>
    </w:p>
    <w:p w:rsidR="00872883" w:rsidRPr="00C96E82" w:rsidRDefault="0003146C" w:rsidP="00872883">
      <w:pPr>
        <w:ind w:right="6065"/>
        <w:jc w:val="both"/>
        <w:rPr>
          <w:sz w:val="28"/>
        </w:rPr>
      </w:pPr>
      <w:r>
        <w:rPr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</w:t>
      </w:r>
      <w:r w:rsidR="00E04470">
        <w:rPr>
          <w:sz w:val="28"/>
          <w:szCs w:val="28"/>
        </w:rPr>
        <w:t>энергетики» и</w:t>
      </w:r>
      <w:r>
        <w:rPr>
          <w:sz w:val="28"/>
          <w:szCs w:val="28"/>
        </w:rPr>
        <w:t xml:space="preserve"> эффективности использования бюджетных средств за 2016 год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03146C" w:rsidP="00E04470">
      <w:pPr>
        <w:pStyle w:val="210"/>
        <w:ind w:firstLine="90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Белокалитвинского района от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09.08.2013 № 1372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Белокалитвинского района»,</w:t>
      </w:r>
    </w:p>
    <w:p w:rsidR="0003146C" w:rsidRDefault="0003146C" w:rsidP="00E04470">
      <w:pPr>
        <w:jc w:val="center"/>
        <w:rPr>
          <w:sz w:val="28"/>
          <w:szCs w:val="28"/>
        </w:rPr>
      </w:pPr>
    </w:p>
    <w:p w:rsidR="00872883" w:rsidRPr="007C732C" w:rsidRDefault="00872883" w:rsidP="00E04470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E04470">
      <w:pPr>
        <w:pStyle w:val="21"/>
        <w:rPr>
          <w:color w:val="000000"/>
          <w:sz w:val="28"/>
        </w:rPr>
      </w:pPr>
    </w:p>
    <w:p w:rsidR="0003146C" w:rsidRDefault="0003146C" w:rsidP="00E04470">
      <w:pPr>
        <w:pStyle w:val="a6"/>
        <w:tabs>
          <w:tab w:val="left" w:pos="0"/>
        </w:tabs>
        <w:ind w:firstLine="709"/>
        <w:jc w:val="both"/>
      </w:pPr>
      <w:r>
        <w:rPr>
          <w:szCs w:val="28"/>
        </w:rPr>
        <w:t xml:space="preserve">1. </w:t>
      </w:r>
      <w:bookmarkStart w:id="3" w:name="__UnoMark__1632_424177803"/>
      <w:bookmarkEnd w:id="3"/>
      <w:r>
        <w:rPr>
          <w:szCs w:val="28"/>
        </w:rPr>
        <w:t>Утвердить отчёт о реализации муниципальной программы Белокалитвинского района «</w:t>
      </w:r>
      <w:proofErr w:type="spellStart"/>
      <w:r>
        <w:rPr>
          <w:szCs w:val="28"/>
        </w:rPr>
        <w:t>Энергоэффективность</w:t>
      </w:r>
      <w:proofErr w:type="spellEnd"/>
      <w:r>
        <w:rPr>
          <w:szCs w:val="28"/>
        </w:rPr>
        <w:t xml:space="preserve"> и развитие энергетики», </w:t>
      </w:r>
      <w:proofErr w:type="gramStart"/>
      <w:r>
        <w:rPr>
          <w:szCs w:val="28"/>
        </w:rPr>
        <w:t>утвержденной  постановлением</w:t>
      </w:r>
      <w:proofErr w:type="gramEnd"/>
      <w:r>
        <w:rPr>
          <w:szCs w:val="28"/>
        </w:rPr>
        <w:t xml:space="preserve"> Администрации Белокалитвинского района от 25.10.2013 № 1854, и эффективности использования бюджетных средств за 2016 год согласно приложению к настоящему постановлению.</w:t>
      </w:r>
    </w:p>
    <w:p w:rsidR="0003146C" w:rsidRDefault="0003146C" w:rsidP="00E04470">
      <w:pPr>
        <w:pStyle w:val="20"/>
        <w:tabs>
          <w:tab w:val="left" w:pos="0"/>
          <w:tab w:val="left" w:pos="119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принятия.</w:t>
      </w:r>
    </w:p>
    <w:p w:rsidR="0003146C" w:rsidRDefault="0003146C" w:rsidP="00E04470">
      <w:pPr>
        <w:pStyle w:val="20"/>
        <w:tabs>
          <w:tab w:val="left" w:pos="0"/>
          <w:tab w:val="left" w:pos="1197"/>
        </w:tabs>
        <w:ind w:firstLine="709"/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Белокалитвинского района по жилищно-коммунальному хозяйству и строительству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3146C" w:rsidRDefault="0003146C" w:rsidP="00872883">
      <w:pPr>
        <w:rPr>
          <w:sz w:val="28"/>
        </w:rPr>
      </w:pPr>
    </w:p>
    <w:p w:rsidR="0003146C" w:rsidRDefault="0003146C" w:rsidP="00872883">
      <w:pPr>
        <w:rPr>
          <w:sz w:val="28"/>
        </w:rPr>
      </w:pPr>
    </w:p>
    <w:p w:rsidR="0003146C" w:rsidRDefault="0003146C" w:rsidP="00872883">
      <w:pPr>
        <w:rPr>
          <w:sz w:val="28"/>
        </w:rPr>
      </w:pPr>
    </w:p>
    <w:p w:rsidR="0003146C" w:rsidRDefault="0003146C" w:rsidP="00872883">
      <w:pPr>
        <w:rPr>
          <w:sz w:val="28"/>
        </w:rPr>
      </w:pPr>
    </w:p>
    <w:p w:rsidR="0003146C" w:rsidRDefault="0003146C" w:rsidP="00872883">
      <w:pPr>
        <w:rPr>
          <w:sz w:val="28"/>
        </w:rPr>
      </w:pPr>
    </w:p>
    <w:p w:rsidR="0003146C" w:rsidRDefault="0003146C" w:rsidP="0003146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3146C" w:rsidRDefault="0003146C" w:rsidP="0003146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3146C" w:rsidRDefault="0003146C" w:rsidP="0003146C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03146C" w:rsidRDefault="00E04470" w:rsidP="0003146C">
      <w:pPr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10.05.</w:t>
      </w:r>
      <w:r w:rsidR="0003146C">
        <w:rPr>
          <w:rFonts w:eastAsia="Calibri"/>
          <w:sz w:val="28"/>
          <w:szCs w:val="28"/>
        </w:rPr>
        <w:t xml:space="preserve">2017   № </w:t>
      </w:r>
      <w:r>
        <w:rPr>
          <w:rFonts w:eastAsia="Calibri"/>
          <w:sz w:val="28"/>
          <w:szCs w:val="28"/>
        </w:rPr>
        <w:t>396</w:t>
      </w:r>
    </w:p>
    <w:p w:rsidR="0003146C" w:rsidRDefault="0003146C" w:rsidP="0003146C">
      <w:pPr>
        <w:ind w:firstLine="709"/>
        <w:jc w:val="right"/>
        <w:rPr>
          <w:rFonts w:eastAsia="Calibri"/>
          <w:sz w:val="28"/>
          <w:szCs w:val="28"/>
        </w:rPr>
      </w:pPr>
    </w:p>
    <w:p w:rsidR="0003146C" w:rsidRDefault="0003146C" w:rsidP="0003146C">
      <w:pPr>
        <w:spacing w:line="280" w:lineRule="exact"/>
        <w:jc w:val="center"/>
      </w:pPr>
      <w:r>
        <w:rPr>
          <w:sz w:val="28"/>
          <w:szCs w:val="28"/>
        </w:rPr>
        <w:t>Отчёт</w:t>
      </w:r>
    </w:p>
    <w:p w:rsidR="0003146C" w:rsidRDefault="0003146C" w:rsidP="0003146C">
      <w:pPr>
        <w:spacing w:line="280" w:lineRule="exact"/>
        <w:jc w:val="center"/>
      </w:pPr>
      <w:r>
        <w:rPr>
          <w:sz w:val="28"/>
          <w:szCs w:val="28"/>
        </w:rPr>
        <w:t xml:space="preserve"> о реализации муниципальной программы Белокалитвинского района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</w:t>
      </w:r>
      <w:proofErr w:type="gramStart"/>
      <w:r>
        <w:rPr>
          <w:sz w:val="28"/>
          <w:szCs w:val="28"/>
        </w:rPr>
        <w:t>и  эффективности</w:t>
      </w:r>
      <w:proofErr w:type="gramEnd"/>
      <w:r>
        <w:rPr>
          <w:sz w:val="28"/>
          <w:szCs w:val="28"/>
        </w:rPr>
        <w:t xml:space="preserve"> использования бюджетных средств за 2016 год</w:t>
      </w:r>
    </w:p>
    <w:p w:rsidR="0003146C" w:rsidRDefault="0003146C" w:rsidP="0003146C">
      <w:pPr>
        <w:spacing w:line="280" w:lineRule="exact"/>
        <w:jc w:val="center"/>
        <w:rPr>
          <w:sz w:val="28"/>
          <w:szCs w:val="28"/>
        </w:rPr>
      </w:pPr>
    </w:p>
    <w:p w:rsidR="0003146C" w:rsidRDefault="0003146C" w:rsidP="0003146C">
      <w:pPr>
        <w:spacing w:line="280" w:lineRule="exact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 Конкретные результаты, </w:t>
      </w:r>
    </w:p>
    <w:p w:rsidR="0003146C" w:rsidRDefault="0003146C" w:rsidP="0003146C">
      <w:pPr>
        <w:spacing w:line="280" w:lineRule="exact"/>
        <w:jc w:val="center"/>
      </w:pPr>
      <w:r>
        <w:rPr>
          <w:sz w:val="28"/>
          <w:szCs w:val="28"/>
        </w:rPr>
        <w:t>достигнутые в отчетном периоде</w:t>
      </w:r>
    </w:p>
    <w:p w:rsidR="0003146C" w:rsidRDefault="0003146C" w:rsidP="0003146C">
      <w:pPr>
        <w:spacing w:line="280" w:lineRule="exact"/>
        <w:ind w:firstLine="741"/>
        <w:jc w:val="both"/>
      </w:pPr>
      <w:r>
        <w:rPr>
          <w:sz w:val="28"/>
        </w:rPr>
        <w:t xml:space="preserve">Муниципальная программа Белокалитвинского района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утверждена постановлением Администрации Белокалитвинского района от 25.10.2013 № 1854</w:t>
      </w:r>
      <w:r>
        <w:rPr>
          <w:sz w:val="28"/>
        </w:rPr>
        <w:t xml:space="preserve"> (</w:t>
      </w:r>
      <w:r>
        <w:rPr>
          <w:sz w:val="28"/>
          <w:szCs w:val="28"/>
        </w:rPr>
        <w:t>далее – Программа).</w:t>
      </w:r>
    </w:p>
    <w:p w:rsidR="0003146C" w:rsidRDefault="0003146C" w:rsidP="0003146C">
      <w:pPr>
        <w:spacing w:line="280" w:lineRule="exact"/>
        <w:ind w:firstLine="708"/>
        <w:jc w:val="both"/>
      </w:pPr>
      <w:r>
        <w:rPr>
          <w:sz w:val="28"/>
          <w:szCs w:val="28"/>
        </w:rPr>
        <w:t xml:space="preserve">В рамках реализации Программы </w:t>
      </w:r>
      <w:r>
        <w:rPr>
          <w:rFonts w:eastAsia="Calibri"/>
          <w:sz w:val="28"/>
          <w:szCs w:val="28"/>
        </w:rPr>
        <w:t>достигнуты следующие основные результаты:</w:t>
      </w:r>
    </w:p>
    <w:p w:rsidR="0003146C" w:rsidRDefault="0003146C" w:rsidP="0003146C">
      <w:pPr>
        <w:ind w:firstLine="708"/>
        <w:jc w:val="both"/>
      </w:pPr>
      <w:r>
        <w:rPr>
          <w:rFonts w:eastAsia="Calibri"/>
          <w:sz w:val="28"/>
          <w:szCs w:val="28"/>
        </w:rPr>
        <w:t>осуществлена информационная поддержка политики энергосбережения</w:t>
      </w:r>
      <w:r>
        <w:rPr>
          <w:sz w:val="28"/>
          <w:szCs w:val="28"/>
        </w:rPr>
        <w:t>;</w:t>
      </w:r>
    </w:p>
    <w:p w:rsidR="0003146C" w:rsidRDefault="0003146C" w:rsidP="0003146C">
      <w:pPr>
        <w:ind w:firstLine="708"/>
        <w:jc w:val="both"/>
      </w:pPr>
      <w:r>
        <w:rPr>
          <w:rFonts w:eastAsia="Calibri"/>
          <w:sz w:val="28"/>
          <w:szCs w:val="28"/>
        </w:rPr>
        <w:t xml:space="preserve">проведены мероприятия по </w:t>
      </w:r>
      <w:r>
        <w:rPr>
          <w:sz w:val="28"/>
          <w:szCs w:val="28"/>
        </w:rPr>
        <w:t xml:space="preserve">приобретению, оплате выполнения необходимых проектных работ, предшествующих установке </w:t>
      </w:r>
      <w:proofErr w:type="gramStart"/>
      <w:r>
        <w:rPr>
          <w:sz w:val="28"/>
          <w:szCs w:val="28"/>
        </w:rPr>
        <w:t>и  установка</w:t>
      </w:r>
      <w:proofErr w:type="gramEnd"/>
      <w:r>
        <w:rPr>
          <w:sz w:val="28"/>
          <w:szCs w:val="28"/>
        </w:rPr>
        <w:t>/замена приборов учета потребляемых энергоресурсов;</w:t>
      </w:r>
    </w:p>
    <w:p w:rsidR="0003146C" w:rsidRDefault="0003146C" w:rsidP="0003146C">
      <w:pPr>
        <w:ind w:firstLine="708"/>
        <w:jc w:val="both"/>
      </w:pPr>
      <w:r>
        <w:rPr>
          <w:rFonts w:eastAsia="Calibri"/>
          <w:sz w:val="28"/>
          <w:szCs w:val="28"/>
        </w:rPr>
        <w:t xml:space="preserve">проведены мероприятия по </w:t>
      </w:r>
      <w:r>
        <w:rPr>
          <w:sz w:val="28"/>
          <w:szCs w:val="28"/>
        </w:rPr>
        <w:t>замене ламп накаливания и других неэффективных элементов систем освещения, в том числе светильников, на энергосберегающие, в том числе на светодиодные;</w:t>
      </w:r>
    </w:p>
    <w:p w:rsidR="0003146C" w:rsidRDefault="0003146C" w:rsidP="0003146C">
      <w:pPr>
        <w:spacing w:line="280" w:lineRule="exact"/>
        <w:ind w:firstLine="708"/>
        <w:jc w:val="both"/>
      </w:pPr>
      <w:r>
        <w:rPr>
          <w:rFonts w:eastAsia="Calibri"/>
          <w:sz w:val="28"/>
          <w:szCs w:val="28"/>
        </w:rPr>
        <w:t xml:space="preserve">реализован комплекс </w:t>
      </w:r>
      <w:proofErr w:type="spellStart"/>
      <w:r>
        <w:rPr>
          <w:rFonts w:eastAsia="Calibri"/>
          <w:sz w:val="28"/>
          <w:szCs w:val="28"/>
        </w:rPr>
        <w:t>энергоресурсосберегающих</w:t>
      </w:r>
      <w:proofErr w:type="spellEnd"/>
      <w:r>
        <w:rPr>
          <w:rFonts w:eastAsia="Calibri"/>
          <w:sz w:val="28"/>
          <w:szCs w:val="28"/>
        </w:rPr>
        <w:t xml:space="preserve"> мероприятий по утеплению помещений в зданиях (установка датчиков движения, </w:t>
      </w:r>
      <w:proofErr w:type="spellStart"/>
      <w:r>
        <w:rPr>
          <w:rFonts w:eastAsia="Calibri"/>
          <w:sz w:val="28"/>
          <w:szCs w:val="28"/>
        </w:rPr>
        <w:t>теплоотражателей</w:t>
      </w:r>
      <w:proofErr w:type="spellEnd"/>
      <w:r>
        <w:rPr>
          <w:rFonts w:eastAsia="Calibri"/>
          <w:sz w:val="28"/>
          <w:szCs w:val="28"/>
        </w:rPr>
        <w:t xml:space="preserve">, приобретение инфракрасных обогревателей), замене и утеплению оконных блоков и дверей, регулировке, автоматизации, промывке и </w:t>
      </w:r>
      <w:proofErr w:type="spellStart"/>
      <w:r>
        <w:rPr>
          <w:rFonts w:eastAsia="Calibri"/>
          <w:sz w:val="28"/>
          <w:szCs w:val="28"/>
        </w:rPr>
        <w:t>опрессовке</w:t>
      </w:r>
      <w:proofErr w:type="spellEnd"/>
      <w:r>
        <w:rPr>
          <w:rFonts w:eastAsia="Calibri"/>
          <w:sz w:val="28"/>
          <w:szCs w:val="28"/>
        </w:rPr>
        <w:t xml:space="preserve"> систем отопления, водоснабжения, оптимизации работы вентиляционных 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водоснабжения.</w:t>
      </w:r>
    </w:p>
    <w:p w:rsidR="0003146C" w:rsidRDefault="0003146C" w:rsidP="0003146C">
      <w:pPr>
        <w:spacing w:line="280" w:lineRule="exact"/>
        <w:ind w:firstLine="708"/>
        <w:jc w:val="both"/>
        <w:rPr>
          <w:rFonts w:eastAsia="Calibri"/>
          <w:i/>
          <w:iCs/>
          <w:sz w:val="28"/>
          <w:szCs w:val="28"/>
        </w:rPr>
      </w:pPr>
    </w:p>
    <w:p w:rsidR="0003146C" w:rsidRDefault="0003146C" w:rsidP="0003146C">
      <w:pPr>
        <w:spacing w:line="280" w:lineRule="exact"/>
        <w:ind w:firstLine="708"/>
        <w:jc w:val="center"/>
      </w:pPr>
      <w:r>
        <w:rPr>
          <w:rFonts w:eastAsia="Calibri"/>
          <w:sz w:val="28"/>
          <w:szCs w:val="28"/>
        </w:rPr>
        <w:t xml:space="preserve">Раздел </w:t>
      </w:r>
      <w:r>
        <w:rPr>
          <w:rFonts w:eastAsia="Calibri"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</w:rPr>
        <w:t xml:space="preserve">. Результаты реализации </w:t>
      </w:r>
    </w:p>
    <w:p w:rsidR="0003146C" w:rsidRDefault="0003146C" w:rsidP="0003146C">
      <w:pPr>
        <w:spacing w:line="280" w:lineRule="exact"/>
        <w:ind w:firstLine="708"/>
        <w:jc w:val="center"/>
      </w:pPr>
      <w:r>
        <w:rPr>
          <w:rFonts w:eastAsia="Calibri"/>
          <w:sz w:val="28"/>
          <w:szCs w:val="28"/>
        </w:rPr>
        <w:t xml:space="preserve">основных мероприятий </w:t>
      </w:r>
      <w:proofErr w:type="gramStart"/>
      <w:r>
        <w:rPr>
          <w:rFonts w:eastAsia="Calibri"/>
          <w:sz w:val="28"/>
          <w:szCs w:val="28"/>
        </w:rPr>
        <w:t>подпрограмм  Программы</w:t>
      </w:r>
      <w:proofErr w:type="gramEnd"/>
    </w:p>
    <w:p w:rsidR="0003146C" w:rsidRDefault="0003146C" w:rsidP="0003146C">
      <w:pPr>
        <w:tabs>
          <w:tab w:val="left" w:pos="0"/>
        </w:tabs>
        <w:spacing w:line="228" w:lineRule="auto"/>
        <w:ind w:firstLine="709"/>
        <w:jc w:val="both"/>
      </w:pPr>
      <w:r>
        <w:rPr>
          <w:sz w:val="28"/>
          <w:szCs w:val="28"/>
        </w:rPr>
        <w:t>Достижению указанных результатов в 2016 году способствовала реализация ответственными исполнителями и участниками Программы основных мероприятий подпрограммы, а именно:</w:t>
      </w:r>
    </w:p>
    <w:p w:rsidR="0003146C" w:rsidRDefault="0003146C" w:rsidP="0003146C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Подпрограмма «Энергосбережение и повышение энергетической эффективности Белокалитвинского района». </w:t>
      </w:r>
    </w:p>
    <w:p w:rsidR="0003146C" w:rsidRDefault="0003146C" w:rsidP="0003146C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>1.1</w:t>
      </w:r>
      <w:r w:rsidR="00E0447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«Информационная поддержка политики энергосбережения».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итогам основного мероприятия </w:t>
      </w:r>
      <w:r>
        <w:rPr>
          <w:sz w:val="28"/>
          <w:szCs w:val="28"/>
        </w:rPr>
        <w:t>специалисты Управления социальной защиты населения Администрации Белокалитвинского района,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МБУК Горняцкого сельского поселения «Горняцкая клубная система», Администрации  Горняцкого сельского поселения, Администрации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 и Администрации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 сельского поселения приняли участие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обучении ответственных лиц в области энергосбережения и повышения энергетической эффективности.</w:t>
      </w:r>
    </w:p>
    <w:p w:rsidR="0003146C" w:rsidRDefault="0003146C" w:rsidP="0003146C">
      <w:pPr>
        <w:spacing w:line="280" w:lineRule="exact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Активизирована информационная поддержка политики энергосбережения. В общественно-политической газете «Перекресток» ежемесячно осуществлялась публикация статей, направленных на разъяснение положений Федерального закона от 23.11.2009 № 261-ФЗ «Об энергосбережении и о повышении </w:t>
      </w:r>
      <w:proofErr w:type="gramStart"/>
      <w:r>
        <w:rPr>
          <w:sz w:val="28"/>
          <w:szCs w:val="28"/>
        </w:rPr>
        <w:t>энергетической эффективности</w:t>
      </w:r>
      <w:proofErr w:type="gramEnd"/>
      <w:r>
        <w:rPr>
          <w:sz w:val="28"/>
          <w:szCs w:val="28"/>
        </w:rPr>
        <w:t xml:space="preserve"> и о внесении изменений в отдельные законодательные акты Российской Федерации».</w:t>
      </w:r>
    </w:p>
    <w:p w:rsidR="0003146C" w:rsidRDefault="0003146C" w:rsidP="0003146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 «Приобретение, оплата выполнения необходимых проектных работ, предшествующих установке, и установка/замена приборов учета потребляемых энергоресурсов в жилищном фонде Белокалитвинского района». </w:t>
      </w:r>
    </w:p>
    <w:p w:rsidR="0003146C" w:rsidRDefault="0003146C" w:rsidP="0003146C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>В рамках реализации данного основного мероприятия установлены индивидуальные приборы учета используемых энергетических ресурсов в муниципальных квартирах многоквартирных домов Белокалитвинского городского поселения на общую сумму 10,7 тыс. рублей:</w:t>
      </w:r>
    </w:p>
    <w:p w:rsidR="0003146C" w:rsidRDefault="0003146C" w:rsidP="0003146C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 прибор учета горячей воды;</w:t>
      </w:r>
    </w:p>
    <w:p w:rsidR="0003146C" w:rsidRDefault="0003146C" w:rsidP="0003146C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 прибора учета холодной воды;</w:t>
      </w:r>
    </w:p>
    <w:p w:rsidR="0003146C" w:rsidRDefault="0003146C" w:rsidP="0003146C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 прибора учета электроэнергии.</w:t>
      </w:r>
    </w:p>
    <w:p w:rsidR="0003146C" w:rsidRDefault="0003146C" w:rsidP="0003146C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Выполнение мероприятия обеспечило реализацию положений Федерального закона от 23.11.2009 № 261-ФЗ, что позволит обеспечить контроль расходования и снижение объемов потребления.</w:t>
      </w:r>
    </w:p>
    <w:p w:rsidR="0003146C" w:rsidRDefault="0003146C" w:rsidP="0003146C">
      <w:pPr>
        <w:spacing w:line="228" w:lineRule="auto"/>
        <w:ind w:firstLine="709"/>
        <w:jc w:val="both"/>
      </w:pPr>
      <w:r>
        <w:rPr>
          <w:sz w:val="28"/>
          <w:szCs w:val="28"/>
        </w:rPr>
        <w:t xml:space="preserve">1.3 «Приобретение, оплата выполнения необходимых проектных работ, предшествующих установке, и установка/замена приборов учета потребляемых энергоресурсов». В рамках основного мероприятия установлены приборы </w:t>
      </w:r>
      <w:proofErr w:type="gramStart"/>
      <w:r>
        <w:rPr>
          <w:sz w:val="28"/>
          <w:szCs w:val="28"/>
        </w:rPr>
        <w:t>учета  энергоресурсов</w:t>
      </w:r>
      <w:proofErr w:type="gramEnd"/>
      <w:r>
        <w:rPr>
          <w:sz w:val="28"/>
          <w:szCs w:val="28"/>
        </w:rPr>
        <w:t xml:space="preserve"> в пяти бюджетных учреждениях Белокалитвинского района. Реализация мероприятия стимулирует потребителей к экономному использованию энергетических ресурсов.</w:t>
      </w:r>
    </w:p>
    <w:p w:rsidR="0003146C" w:rsidRDefault="0003146C" w:rsidP="0003146C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>1.4 «Замена ламп накаливания и других неэффективных элементов систем освещения, в том числе светильников, на энергосберегающие (в том числе</w:t>
      </w:r>
      <w:r>
        <w:rPr>
          <w:rFonts w:eastAsia="Calibri"/>
          <w:sz w:val="28"/>
          <w:szCs w:val="28"/>
        </w:rPr>
        <w:br/>
        <w:t>не менее 30 процентов от объема на основе светодиодов)». По итогам реализации основного мероприятия модернизированы системы освещения с внедрением энергосберегающих технологий в 13 бюджетных учреждениях района, что, в свою очередь, обеспечит экономию бюджетных средств, направленных на оплату электрической энергии, потребленной бюджетными учреждениями.</w:t>
      </w:r>
    </w:p>
    <w:p w:rsidR="0003146C" w:rsidRDefault="0003146C" w:rsidP="0003146C">
      <w:pPr>
        <w:spacing w:line="228" w:lineRule="auto"/>
        <w:ind w:firstLine="709"/>
        <w:jc w:val="both"/>
        <w:rPr>
          <w:i/>
          <w:iCs/>
        </w:rPr>
      </w:pPr>
      <w:r>
        <w:rPr>
          <w:rFonts w:eastAsia="Calibri"/>
          <w:sz w:val="28"/>
          <w:szCs w:val="28"/>
        </w:rPr>
        <w:t>1.5 «Замена ламп накаливания и других неэффективных элементов систем наружного освещения, в том числе светильников, на энергосберегающие (в том числе не менее 30 процентов от объема на основе светодиодов)».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итогам реализации основного мероприятия модернизированы системы наружного освещения на территории </w:t>
      </w:r>
      <w:proofErr w:type="spellStart"/>
      <w:r>
        <w:rPr>
          <w:rFonts w:eastAsia="Calibri"/>
          <w:sz w:val="28"/>
          <w:szCs w:val="28"/>
        </w:rPr>
        <w:t>Богураевского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и Грушево-Дубовского сельского поселения с внедрением светодиодных технологий, что обеспечит экономию бюджетных средств, направленных на оплату электрической энергии.</w:t>
      </w:r>
    </w:p>
    <w:p w:rsidR="0003146C" w:rsidRDefault="0003146C" w:rsidP="0003146C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1.6 «Реализация комплекса </w:t>
      </w:r>
      <w:bookmarkStart w:id="4" w:name="__DdeLink__3214_1293763606"/>
      <w:proofErr w:type="spellStart"/>
      <w:r>
        <w:rPr>
          <w:rFonts w:eastAsia="Calibri"/>
          <w:sz w:val="28"/>
          <w:szCs w:val="28"/>
        </w:rPr>
        <w:t>энергоресурсосберегающих</w:t>
      </w:r>
      <w:proofErr w:type="spellEnd"/>
      <w:r>
        <w:rPr>
          <w:rFonts w:eastAsia="Calibri"/>
          <w:sz w:val="28"/>
          <w:szCs w:val="28"/>
        </w:rPr>
        <w:t xml:space="preserve"> мероприятий</w:t>
      </w:r>
      <w:bookmarkEnd w:id="4"/>
      <w:r>
        <w:rPr>
          <w:rFonts w:eastAsia="Calibri"/>
          <w:sz w:val="28"/>
          <w:szCs w:val="28"/>
        </w:rPr>
        <w:t xml:space="preserve"> по утеплению помещений в зданиях, замене и утеплению оконных блоков и дверей, регулировке, автоматизации, промывке и </w:t>
      </w:r>
      <w:proofErr w:type="spellStart"/>
      <w:r>
        <w:rPr>
          <w:rFonts w:eastAsia="Calibri"/>
          <w:sz w:val="28"/>
          <w:szCs w:val="28"/>
        </w:rPr>
        <w:t>опрессовке</w:t>
      </w:r>
      <w:proofErr w:type="spellEnd"/>
      <w:r>
        <w:rPr>
          <w:rFonts w:eastAsia="Calibri"/>
          <w:sz w:val="28"/>
          <w:szCs w:val="28"/>
        </w:rPr>
        <w:t xml:space="preserve"> систем отопления, водоснабжения, оптимизации работы вентиляционных систем, замене и ремонту запорной арматуры, установке новой арматуры на сетях водоснабжения, водоотведения, отопления». Реализация энергосберегающих мероприятий позволила сократить в сопоставимых условиях расходы местного бюджета на</w:t>
      </w:r>
    </w:p>
    <w:p w:rsidR="0003146C" w:rsidRDefault="0003146C" w:rsidP="0003146C">
      <w:pPr>
        <w:spacing w:line="228" w:lineRule="auto"/>
        <w:jc w:val="both"/>
      </w:pPr>
      <w:r>
        <w:rPr>
          <w:rFonts w:eastAsia="Calibri"/>
          <w:sz w:val="28"/>
          <w:szCs w:val="28"/>
        </w:rPr>
        <w:lastRenderedPageBreak/>
        <w:t>оплату коммунальных услуг и уменьшить потери топливно-энергетических ресурсов в бюджетных учреждениях.</w:t>
      </w:r>
    </w:p>
    <w:p w:rsidR="0003146C" w:rsidRDefault="0003146C" w:rsidP="0003146C">
      <w:pPr>
        <w:ind w:firstLine="709"/>
        <w:jc w:val="both"/>
        <w:rPr>
          <w:i/>
          <w:iCs/>
          <w:sz w:val="28"/>
          <w:szCs w:val="28"/>
        </w:rPr>
      </w:pPr>
    </w:p>
    <w:p w:rsidR="0003146C" w:rsidRDefault="0003146C" w:rsidP="0003146C">
      <w:pPr>
        <w:spacing w:line="280" w:lineRule="exact"/>
        <w:ind w:firstLine="741"/>
        <w:jc w:val="center"/>
      </w:pPr>
      <w:bookmarkStart w:id="5" w:name="_GoBack"/>
      <w:bookmarkEnd w:id="5"/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Сведения об использовании бюджетных </w:t>
      </w:r>
    </w:p>
    <w:p w:rsidR="0003146C" w:rsidRDefault="0003146C" w:rsidP="0003146C">
      <w:pPr>
        <w:spacing w:line="280" w:lineRule="exact"/>
        <w:ind w:firstLine="741"/>
        <w:jc w:val="center"/>
      </w:pPr>
      <w:r>
        <w:rPr>
          <w:sz w:val="28"/>
          <w:szCs w:val="28"/>
        </w:rPr>
        <w:t>ассигнований и внебюджетных средств на реализацию Программы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>В 2016 году на реализацию Программы предусматривалось финансирование в размере 2 025,5 тыс. рублей, в том числе за счет средств: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 xml:space="preserve">местных бюджетов </w:t>
      </w:r>
      <w:proofErr w:type="gramStart"/>
      <w:r>
        <w:rPr>
          <w:sz w:val="28"/>
          <w:szCs w:val="28"/>
        </w:rPr>
        <w:t>—  1</w:t>
      </w:r>
      <w:proofErr w:type="gramEnd"/>
      <w:r>
        <w:rPr>
          <w:sz w:val="28"/>
          <w:szCs w:val="28"/>
        </w:rPr>
        <w:t> 630,2 тыс. рублей;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>внебюджетных источников – 395,3 тыс. рублей.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 xml:space="preserve">Освоено 1 751,0 тыс. рублей, в том числе за счет средств: 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>местных бюджетов – 1 542,1 тыс. рублей;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 xml:space="preserve">внебюджетных источников </w:t>
      </w:r>
      <w:proofErr w:type="gramStart"/>
      <w:r>
        <w:rPr>
          <w:sz w:val="28"/>
          <w:szCs w:val="28"/>
        </w:rPr>
        <w:t>—  208</w:t>
      </w:r>
      <w:proofErr w:type="gramEnd"/>
      <w:r>
        <w:rPr>
          <w:sz w:val="28"/>
          <w:szCs w:val="28"/>
        </w:rPr>
        <w:t>,9 тыс. рублей.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за 2016 год представлены в приложении № </w:t>
      </w:r>
      <w:bookmarkStart w:id="6" w:name="__DdeLink__1568_2057226733"/>
      <w:r>
        <w:rPr>
          <w:sz w:val="28"/>
          <w:szCs w:val="28"/>
        </w:rPr>
        <w:t>1</w:t>
      </w:r>
      <w:bookmarkEnd w:id="6"/>
      <w:r>
        <w:rPr>
          <w:sz w:val="28"/>
          <w:szCs w:val="28"/>
        </w:rPr>
        <w:t>.</w:t>
      </w:r>
    </w:p>
    <w:p w:rsidR="0003146C" w:rsidRDefault="0003146C" w:rsidP="0003146C">
      <w:pPr>
        <w:spacing w:line="280" w:lineRule="exact"/>
        <w:ind w:firstLine="709"/>
        <w:jc w:val="center"/>
        <w:rPr>
          <w:i/>
          <w:iCs/>
          <w:sz w:val="28"/>
          <w:szCs w:val="28"/>
        </w:rPr>
      </w:pPr>
    </w:p>
    <w:p w:rsidR="0003146C" w:rsidRDefault="0003146C" w:rsidP="0003146C">
      <w:pPr>
        <w:spacing w:line="280" w:lineRule="exact"/>
        <w:ind w:firstLine="709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 Сведения о достижении значений показателей </w:t>
      </w:r>
    </w:p>
    <w:p w:rsidR="0003146C" w:rsidRDefault="0003146C" w:rsidP="0003146C">
      <w:pPr>
        <w:spacing w:line="280" w:lineRule="exact"/>
        <w:ind w:firstLine="709"/>
        <w:jc w:val="center"/>
      </w:pPr>
      <w:r>
        <w:rPr>
          <w:sz w:val="28"/>
          <w:szCs w:val="28"/>
        </w:rPr>
        <w:t>(индикаторов) Программы, подпрограмм Программы за 2016 год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>Из девятнадцати показателей Программы, достижение которых запланировано на 2016 год, достигнуты одиннадцать, четыре превысили плановое значение. Не достигли своего значения четыре показателя.</w:t>
      </w:r>
    </w:p>
    <w:p w:rsidR="0003146C" w:rsidRDefault="0003146C" w:rsidP="0003146C">
      <w:pPr>
        <w:spacing w:line="280" w:lineRule="exact"/>
        <w:ind w:firstLine="709"/>
        <w:jc w:val="both"/>
      </w:pPr>
      <w:r>
        <w:rPr>
          <w:sz w:val="28"/>
          <w:szCs w:val="28"/>
        </w:rPr>
        <w:t>Сведения о достижении значений показателей (индикаторов) приведены в приложении № 2.</w:t>
      </w:r>
    </w:p>
    <w:p w:rsidR="0003146C" w:rsidRDefault="0003146C" w:rsidP="0003146C">
      <w:pPr>
        <w:spacing w:line="280" w:lineRule="exact"/>
        <w:jc w:val="center"/>
        <w:rPr>
          <w:i/>
          <w:iCs/>
          <w:sz w:val="28"/>
        </w:rPr>
      </w:pPr>
    </w:p>
    <w:p w:rsidR="0003146C" w:rsidRDefault="0003146C" w:rsidP="0003146C">
      <w:pPr>
        <w:spacing w:line="280" w:lineRule="exact"/>
        <w:jc w:val="center"/>
      </w:pPr>
      <w:r>
        <w:rPr>
          <w:sz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</w:rPr>
        <w:t xml:space="preserve"> Информация о внесенных </w:t>
      </w:r>
    </w:p>
    <w:p w:rsidR="0003146C" w:rsidRDefault="0003146C" w:rsidP="0003146C">
      <w:pPr>
        <w:spacing w:line="280" w:lineRule="exact"/>
        <w:jc w:val="center"/>
      </w:pPr>
      <w:r>
        <w:rPr>
          <w:sz w:val="28"/>
        </w:rPr>
        <w:t>изменениях в П</w:t>
      </w:r>
      <w:r>
        <w:rPr>
          <w:sz w:val="28"/>
          <w:szCs w:val="28"/>
        </w:rPr>
        <w:t>рограмму</w:t>
      </w:r>
    </w:p>
    <w:p w:rsidR="0003146C" w:rsidRDefault="0003146C" w:rsidP="0003146C">
      <w:pPr>
        <w:spacing w:line="280" w:lineRule="exact"/>
        <w:ind w:firstLine="741"/>
        <w:jc w:val="both"/>
      </w:pPr>
      <w:r>
        <w:rPr>
          <w:sz w:val="28"/>
        </w:rPr>
        <w:t>В рамках эффективной реализации мероприятий Программы в 2016 году было принято постановление Администрации Белокалитвинского района:</w:t>
      </w:r>
    </w:p>
    <w:p w:rsidR="0003146C" w:rsidRDefault="0003146C" w:rsidP="0003146C">
      <w:pPr>
        <w:spacing w:line="280" w:lineRule="exact"/>
        <w:ind w:firstLine="741"/>
        <w:jc w:val="both"/>
      </w:pPr>
      <w:r>
        <w:rPr>
          <w:sz w:val="28"/>
        </w:rPr>
        <w:t xml:space="preserve">от 21.09.2016 № 1280 «О внесении изменений в постановление Администрации Белокалитвинского района от </w:t>
      </w:r>
      <w:r>
        <w:rPr>
          <w:sz w:val="28"/>
          <w:szCs w:val="28"/>
        </w:rPr>
        <w:t>25.10.2013 № 1854</w:t>
      </w:r>
      <w:r>
        <w:rPr>
          <w:sz w:val="28"/>
        </w:rPr>
        <w:t>».</w:t>
      </w:r>
    </w:p>
    <w:p w:rsidR="0003146C" w:rsidRDefault="0003146C" w:rsidP="0003146C">
      <w:pPr>
        <w:ind w:firstLine="709"/>
        <w:jc w:val="both"/>
      </w:pPr>
      <w:r>
        <w:rPr>
          <w:sz w:val="28"/>
          <w:szCs w:val="28"/>
        </w:rPr>
        <w:t>В 2016 году средства федерального и областного бюджетов на реализацию мероприятий Программы не направлялись.</w:t>
      </w:r>
    </w:p>
    <w:p w:rsidR="0003146C" w:rsidRDefault="0003146C" w:rsidP="0003146C">
      <w:pPr>
        <w:jc w:val="center"/>
        <w:rPr>
          <w:sz w:val="28"/>
          <w:szCs w:val="28"/>
        </w:rPr>
      </w:pPr>
    </w:p>
    <w:p w:rsidR="0003146C" w:rsidRDefault="0003146C" w:rsidP="0003146C">
      <w:pPr>
        <w:spacing w:line="280" w:lineRule="exact"/>
        <w:ind w:firstLine="709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Предложения по дальнейшей реализации Программы</w:t>
      </w:r>
    </w:p>
    <w:p w:rsidR="0003146C" w:rsidRDefault="0003146C" w:rsidP="0003146C">
      <w:pPr>
        <w:pStyle w:val="a6"/>
        <w:ind w:firstLine="741"/>
        <w:jc w:val="both"/>
      </w:pPr>
      <w:r>
        <w:t xml:space="preserve">Программа рассчитана на реализацию программных мероприятий на период до 2020 года. Дальнейшая реализация </w:t>
      </w:r>
      <w:r>
        <w:rPr>
          <w:szCs w:val="28"/>
        </w:rPr>
        <w:t>программных мероприятий предусматривает внесение соответствующих изменений в муниципальную программу Белокалитвинского района «</w:t>
      </w:r>
      <w:proofErr w:type="spellStart"/>
      <w:r>
        <w:rPr>
          <w:szCs w:val="28"/>
        </w:rPr>
        <w:t>Энергоэффективность</w:t>
      </w:r>
      <w:proofErr w:type="spellEnd"/>
      <w:r>
        <w:rPr>
          <w:szCs w:val="28"/>
        </w:rPr>
        <w:t xml:space="preserve"> и развитие энергетики» в 2017 году, в том числе:</w:t>
      </w:r>
    </w:p>
    <w:p w:rsidR="0003146C" w:rsidRDefault="0003146C" w:rsidP="0003146C">
      <w:pPr>
        <w:pStyle w:val="a6"/>
        <w:ind w:firstLine="741"/>
        <w:jc w:val="both"/>
      </w:pPr>
      <w:r>
        <w:rPr>
          <w:rFonts w:eastAsia="Calibri"/>
          <w:szCs w:val="28"/>
        </w:rPr>
        <w:t xml:space="preserve"> на реализацию мероприятий по информационной поддержке политики энергосбережения;</w:t>
      </w:r>
    </w:p>
    <w:p w:rsidR="0003146C" w:rsidRDefault="0003146C" w:rsidP="0003146C">
      <w:pPr>
        <w:pStyle w:val="a6"/>
        <w:ind w:firstLine="741"/>
        <w:jc w:val="both"/>
      </w:pPr>
      <w:r>
        <w:rPr>
          <w:rFonts w:eastAsia="Calibri"/>
          <w:szCs w:val="28"/>
        </w:rPr>
        <w:t>на приобретение и установку приборов учета энергетических ресурсов;</w:t>
      </w:r>
    </w:p>
    <w:p w:rsidR="0003146C" w:rsidRDefault="0003146C" w:rsidP="0003146C">
      <w:pPr>
        <w:pStyle w:val="a6"/>
        <w:ind w:firstLine="741"/>
        <w:jc w:val="both"/>
      </w:pPr>
      <w:r>
        <w:rPr>
          <w:rFonts w:eastAsia="Calibri"/>
          <w:szCs w:val="28"/>
        </w:rPr>
        <w:t>на замену ламп накаливания и других неэффективных элементов систем освещения на энергосберегающие, в том числе систем наружного освещения;</w:t>
      </w:r>
    </w:p>
    <w:p w:rsidR="0003146C" w:rsidRDefault="0003146C" w:rsidP="0003146C">
      <w:pPr>
        <w:pStyle w:val="a6"/>
        <w:ind w:firstLine="741"/>
        <w:jc w:val="both"/>
      </w:pPr>
      <w:r>
        <w:rPr>
          <w:rFonts w:eastAsia="Calibri"/>
          <w:szCs w:val="28"/>
        </w:rPr>
        <w:t xml:space="preserve">на реализацию комплекса </w:t>
      </w:r>
      <w:bookmarkStart w:id="7" w:name="__DdeLink__3214_129376360612"/>
      <w:proofErr w:type="spellStart"/>
      <w:r>
        <w:rPr>
          <w:rFonts w:eastAsia="Calibri"/>
          <w:szCs w:val="28"/>
        </w:rPr>
        <w:t>энергоресурсосберегающих</w:t>
      </w:r>
      <w:proofErr w:type="spellEnd"/>
      <w:r>
        <w:rPr>
          <w:rFonts w:eastAsia="Calibri"/>
          <w:szCs w:val="28"/>
        </w:rPr>
        <w:t xml:space="preserve"> мероприятий</w:t>
      </w:r>
      <w:bookmarkEnd w:id="7"/>
      <w:r>
        <w:rPr>
          <w:rFonts w:eastAsia="Calibri"/>
          <w:szCs w:val="28"/>
        </w:rPr>
        <w:t xml:space="preserve"> в бюджетных учреждениях Белокалитвинского района.</w:t>
      </w:r>
    </w:p>
    <w:p w:rsidR="0003146C" w:rsidRDefault="0003146C" w:rsidP="0003146C">
      <w:pPr>
        <w:pStyle w:val="a6"/>
        <w:ind w:firstLine="741"/>
        <w:jc w:val="both"/>
      </w:pPr>
      <w:r>
        <w:rPr>
          <w:rFonts w:eastAsia="Calibri"/>
          <w:szCs w:val="28"/>
        </w:rPr>
        <w:t xml:space="preserve"> </w:t>
      </w:r>
    </w:p>
    <w:p w:rsidR="0003146C" w:rsidRPr="0003146C" w:rsidRDefault="0003146C" w:rsidP="0003146C">
      <w:pPr>
        <w:ind w:firstLine="709"/>
        <w:jc w:val="center"/>
        <w:rPr>
          <w:sz w:val="28"/>
          <w:szCs w:val="28"/>
        </w:rPr>
      </w:pPr>
      <w:r w:rsidRPr="0003146C">
        <w:rPr>
          <w:sz w:val="28"/>
          <w:szCs w:val="28"/>
        </w:rPr>
        <w:t>Управляющий делами                                                      Л.Г. Василенко</w:t>
      </w:r>
    </w:p>
    <w:p w:rsidR="0003146C" w:rsidRDefault="0003146C" w:rsidP="0003146C">
      <w:pPr>
        <w:jc w:val="right"/>
        <w:rPr>
          <w:sz w:val="28"/>
        </w:rPr>
        <w:sectPr w:rsidR="0003146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3146C" w:rsidRDefault="0003146C" w:rsidP="0003146C">
      <w:pPr>
        <w:ind w:left="10773"/>
        <w:jc w:val="right"/>
      </w:pPr>
      <w:bookmarkStart w:id="8" w:name="__DdeLink__4048_2009114353"/>
      <w:bookmarkStart w:id="9" w:name="__DdeLink__1662_1128739362"/>
      <w:r>
        <w:rPr>
          <w:sz w:val="28"/>
          <w:szCs w:val="28"/>
        </w:rPr>
        <w:lastRenderedPageBreak/>
        <w:t>Приложение № 1</w:t>
      </w:r>
    </w:p>
    <w:p w:rsidR="0003146C" w:rsidRDefault="0003146C" w:rsidP="0003146C">
      <w:pPr>
        <w:ind w:left="10773"/>
        <w:jc w:val="right"/>
      </w:pPr>
      <w:r>
        <w:rPr>
          <w:sz w:val="28"/>
          <w:szCs w:val="28"/>
        </w:rPr>
        <w:t xml:space="preserve">к отчету о реализации </w:t>
      </w:r>
    </w:p>
    <w:p w:rsidR="0003146C" w:rsidRDefault="0003146C" w:rsidP="0003146C">
      <w:pPr>
        <w:ind w:left="10773"/>
        <w:jc w:val="right"/>
      </w:pPr>
      <w:r>
        <w:rPr>
          <w:sz w:val="28"/>
          <w:szCs w:val="28"/>
        </w:rPr>
        <w:t xml:space="preserve">муниципальной программы </w:t>
      </w:r>
    </w:p>
    <w:p w:rsidR="0003146C" w:rsidRDefault="0003146C" w:rsidP="0003146C">
      <w:pPr>
        <w:ind w:left="10773"/>
        <w:jc w:val="right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</w:t>
      </w:r>
      <w:bookmarkStart w:id="10" w:name="__DdeLink__1523_1596420576"/>
      <w:proofErr w:type="gramStart"/>
      <w:r>
        <w:rPr>
          <w:sz w:val="28"/>
          <w:szCs w:val="28"/>
        </w:rPr>
        <w:t>и  эффективности</w:t>
      </w:r>
      <w:proofErr w:type="gramEnd"/>
      <w:r>
        <w:rPr>
          <w:sz w:val="28"/>
          <w:szCs w:val="28"/>
        </w:rPr>
        <w:t xml:space="preserve"> использования бюджетных средств</w:t>
      </w:r>
      <w:bookmarkEnd w:id="10"/>
      <w:r>
        <w:rPr>
          <w:sz w:val="28"/>
          <w:szCs w:val="28"/>
        </w:rPr>
        <w:t xml:space="preserve"> за 2016</w:t>
      </w:r>
      <w:bookmarkEnd w:id="8"/>
      <w:bookmarkEnd w:id="9"/>
      <w:r>
        <w:rPr>
          <w:sz w:val="28"/>
          <w:szCs w:val="28"/>
        </w:rPr>
        <w:t xml:space="preserve"> год</w:t>
      </w: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jc w:val="center"/>
        <w:rPr>
          <w:i/>
          <w:iCs/>
          <w:sz w:val="28"/>
          <w:szCs w:val="28"/>
        </w:rPr>
      </w:pPr>
    </w:p>
    <w:p w:rsidR="0003146C" w:rsidRDefault="0003146C" w:rsidP="0003146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3146C" w:rsidRDefault="0003146C" w:rsidP="0003146C">
      <w:pPr>
        <w:jc w:val="center"/>
        <w:rPr>
          <w:i/>
          <w:iCs/>
        </w:rPr>
      </w:pPr>
      <w:r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>
        <w:rPr>
          <w:sz w:val="28"/>
          <w:szCs w:val="28"/>
        </w:rPr>
        <w:br/>
        <w:t>муниципальной программы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за 2016 год</w:t>
      </w:r>
    </w:p>
    <w:p w:rsidR="0003146C" w:rsidRDefault="0003146C" w:rsidP="0003146C">
      <w:pPr>
        <w:jc w:val="center"/>
        <w:rPr>
          <w:i/>
          <w:iCs/>
          <w:sz w:val="28"/>
          <w:szCs w:val="28"/>
        </w:rPr>
      </w:pPr>
    </w:p>
    <w:tbl>
      <w:tblPr>
        <w:tblW w:w="15009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4"/>
        <w:gridCol w:w="3946"/>
        <w:gridCol w:w="2895"/>
        <w:gridCol w:w="3001"/>
        <w:gridCol w:w="2993"/>
      </w:tblGrid>
      <w:tr w:rsidR="0003146C" w:rsidRPr="0003146C" w:rsidTr="00DE6E4A"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Статус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jc w:val="center"/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 xml:space="preserve">Наименование </w:t>
            </w:r>
          </w:p>
          <w:p w:rsidR="0003146C" w:rsidRPr="0003146C" w:rsidRDefault="0003146C" w:rsidP="00DE6E4A">
            <w:pPr>
              <w:jc w:val="center"/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jc w:val="center"/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jc w:val="center"/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Объем расходов, предусмотренных муниципальной программой (тыс. рублей)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jc w:val="center"/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Фактические</w:t>
            </w:r>
            <w:r w:rsidRPr="0003146C">
              <w:rPr>
                <w:sz w:val="28"/>
                <w:szCs w:val="28"/>
              </w:rPr>
              <w:br/>
              <w:t>расходы</w:t>
            </w:r>
          </w:p>
          <w:p w:rsidR="0003146C" w:rsidRPr="0003146C" w:rsidRDefault="0003146C" w:rsidP="00DE6E4A">
            <w:pPr>
              <w:jc w:val="center"/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(тыс. рублей)</w:t>
            </w:r>
          </w:p>
        </w:tc>
      </w:tr>
      <w:tr w:rsidR="0003146C" w:rsidRPr="0003146C" w:rsidTr="00DE6E4A"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1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2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3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4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5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 xml:space="preserve"> «</w:t>
            </w:r>
            <w:proofErr w:type="spellStart"/>
            <w:r w:rsidRPr="0003146C">
              <w:rPr>
                <w:sz w:val="28"/>
                <w:szCs w:val="28"/>
              </w:rPr>
              <w:t>Энергоэффективность</w:t>
            </w:r>
            <w:proofErr w:type="spellEnd"/>
            <w:r w:rsidRPr="0003146C">
              <w:rPr>
                <w:sz w:val="28"/>
                <w:szCs w:val="28"/>
              </w:rPr>
              <w:t xml:space="preserve"> и развитие энергетики» 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2 025,5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1 751,0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1 630,2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1 542,1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395,3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208,9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r w:rsidRPr="0003146C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 xml:space="preserve">«Энергосбережение и повышение энергетической эффективности Белокалитвинского района» 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2 025,5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1 751,0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1 630,2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1 542,1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395,3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208,9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1.1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Проведение обязательного энергетического обследования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1.2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Проведение обязательного энергетического обследования систем наружного освещения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Основное мероприятие 1.3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 xml:space="preserve">Информационная поддержка политики энергосбережения 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108,1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107,8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41,6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41,3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66,5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66,5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lastRenderedPageBreak/>
              <w:t>Основное мероприятие 1.4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 xml:space="preserve">Приобретение, оплата выполнения необходимых проектных работ, предшествующих установке, </w:t>
            </w:r>
          </w:p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и установка/замена приборов учета потребляемых энергоресурсов в жилищном фонде Белокалитвинского района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10,7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10,7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10,7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10,7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1.5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 xml:space="preserve">Приобретение, оплата выполнения необходимых проектных работ, предшествующих установке, </w:t>
            </w:r>
          </w:p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и установка/замена приборов учета потребляемых энергоресурсов, оборудование средствами контроля и регулирования потребления тепловой энергии, обслуживание и поверка приборов учета потребляемых энергоресурсов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134,9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105,7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110,9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100,8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24,0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4,9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1.6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 xml:space="preserve">Замена ламп накаливания и других неэффективных элементов систем освещения, в том числе светильников, на энергосберегающие </w:t>
            </w:r>
          </w:p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lastRenderedPageBreak/>
              <w:t>(в том числе не менее 30 процентов от объема на основе светодиодов)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325,3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271,9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214,2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194,7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111,1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77,2</w:t>
            </w:r>
          </w:p>
        </w:tc>
      </w:tr>
      <w:tr w:rsidR="0003146C" w:rsidRPr="0003146C" w:rsidTr="00DE6E4A">
        <w:trPr>
          <w:trHeight w:val="486"/>
        </w:trPr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1.7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 xml:space="preserve">Замена ламп накаливания и других неэффективных элементов систем </w:t>
            </w:r>
            <w:r w:rsidRPr="0003146C">
              <w:rPr>
                <w:bCs/>
                <w:sz w:val="28"/>
                <w:szCs w:val="28"/>
              </w:rPr>
              <w:t>наружного</w:t>
            </w:r>
            <w:r w:rsidRPr="0003146C">
              <w:rPr>
                <w:sz w:val="28"/>
                <w:szCs w:val="28"/>
              </w:rPr>
              <w:t xml:space="preserve"> освещения, в том числе светильников, на энергосберегающие </w:t>
            </w:r>
          </w:p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(в том числе не менее 30 процентов от объема на основе светодиодов)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175,0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153,1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175,0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153,1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1.8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 xml:space="preserve">Реализация комплекса </w:t>
            </w:r>
            <w:proofErr w:type="spellStart"/>
            <w:r w:rsidRPr="0003146C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03146C">
              <w:rPr>
                <w:sz w:val="28"/>
                <w:szCs w:val="28"/>
              </w:rPr>
              <w:t xml:space="preserve"> мероприятий по утеплению помещений в зданиях, замене и утеплению оконных блоков и дверей, регулировке, автоматизации, промывке и </w:t>
            </w:r>
            <w:proofErr w:type="spellStart"/>
            <w:r w:rsidRPr="0003146C">
              <w:rPr>
                <w:sz w:val="28"/>
                <w:szCs w:val="28"/>
              </w:rPr>
              <w:t>опрессовке</w:t>
            </w:r>
            <w:proofErr w:type="spellEnd"/>
            <w:r w:rsidRPr="0003146C">
              <w:rPr>
                <w:sz w:val="28"/>
                <w:szCs w:val="28"/>
              </w:rPr>
              <w:t xml:space="preserve"> систем отопления, водоснабжения, оптимизации работы </w:t>
            </w:r>
            <w:proofErr w:type="spellStart"/>
            <w:r w:rsidRPr="0003146C">
              <w:rPr>
                <w:sz w:val="28"/>
                <w:szCs w:val="28"/>
              </w:rPr>
              <w:t>вентсистем</w:t>
            </w:r>
            <w:proofErr w:type="spellEnd"/>
            <w:r w:rsidRPr="0003146C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1 271,5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1 101,8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1 077,8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1 041,5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193,7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</w:pPr>
            <w:r w:rsidRPr="0003146C">
              <w:rPr>
                <w:sz w:val="28"/>
                <w:szCs w:val="28"/>
              </w:rPr>
              <w:t>60,3</w:t>
            </w:r>
          </w:p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1.9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Ведение форм мониторинга потребления энергетических ресурсов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Основное мероприятие 1.10</w:t>
            </w:r>
          </w:p>
        </w:tc>
        <w:tc>
          <w:tcPr>
            <w:tcW w:w="3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Установка реле времени и таймера (системы наружного освещения)</w:t>
            </w: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всего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0,0</w:t>
            </w:r>
          </w:p>
        </w:tc>
      </w:tr>
      <w:tr w:rsidR="0003146C" w:rsidRPr="0003146C" w:rsidTr="00DE6E4A">
        <w:tc>
          <w:tcPr>
            <w:tcW w:w="21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rPr>
                <w:i/>
                <w:iCs/>
              </w:rPr>
            </w:pPr>
            <w:r w:rsidRPr="0003146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  <w:tc>
          <w:tcPr>
            <w:tcW w:w="2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:rsidR="0003146C" w:rsidRPr="0003146C" w:rsidRDefault="0003146C" w:rsidP="00DE6E4A">
            <w:pPr>
              <w:pStyle w:val="a8"/>
              <w:jc w:val="center"/>
              <w:rPr>
                <w:sz w:val="28"/>
                <w:szCs w:val="28"/>
              </w:rPr>
            </w:pPr>
            <w:r w:rsidRPr="0003146C">
              <w:rPr>
                <w:sz w:val="28"/>
                <w:szCs w:val="28"/>
              </w:rPr>
              <w:t>-</w:t>
            </w:r>
          </w:p>
        </w:tc>
      </w:tr>
    </w:tbl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ind w:left="10773"/>
        <w:jc w:val="right"/>
      </w:pPr>
      <w:r>
        <w:rPr>
          <w:sz w:val="28"/>
          <w:szCs w:val="28"/>
        </w:rPr>
        <w:t>Приложение № 2</w:t>
      </w:r>
    </w:p>
    <w:p w:rsidR="0003146C" w:rsidRDefault="0003146C" w:rsidP="0003146C">
      <w:pPr>
        <w:ind w:left="10773"/>
        <w:jc w:val="right"/>
      </w:pPr>
      <w:r>
        <w:rPr>
          <w:sz w:val="28"/>
          <w:szCs w:val="28"/>
        </w:rPr>
        <w:t xml:space="preserve">к отчету о реализации </w:t>
      </w:r>
    </w:p>
    <w:p w:rsidR="0003146C" w:rsidRDefault="0003146C" w:rsidP="0003146C">
      <w:pPr>
        <w:ind w:left="10773"/>
        <w:jc w:val="right"/>
      </w:pPr>
      <w:r>
        <w:rPr>
          <w:sz w:val="28"/>
          <w:szCs w:val="28"/>
        </w:rPr>
        <w:t xml:space="preserve">муниципальной программы </w:t>
      </w:r>
    </w:p>
    <w:p w:rsidR="0003146C" w:rsidRDefault="0003146C" w:rsidP="0003146C">
      <w:pPr>
        <w:ind w:left="10773"/>
        <w:jc w:val="right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</w:t>
      </w:r>
      <w:bookmarkStart w:id="11" w:name="__DdeLink__1523_159642057612"/>
      <w:proofErr w:type="gramStart"/>
      <w:r>
        <w:rPr>
          <w:sz w:val="28"/>
          <w:szCs w:val="28"/>
        </w:rPr>
        <w:t>и  эффективности</w:t>
      </w:r>
      <w:proofErr w:type="gramEnd"/>
      <w:r>
        <w:rPr>
          <w:sz w:val="28"/>
          <w:szCs w:val="28"/>
        </w:rPr>
        <w:t xml:space="preserve"> использования бюджетных средств</w:t>
      </w:r>
      <w:bookmarkEnd w:id="11"/>
      <w:r>
        <w:rPr>
          <w:sz w:val="28"/>
          <w:szCs w:val="28"/>
        </w:rPr>
        <w:t xml:space="preserve"> за 2016 год</w:t>
      </w:r>
    </w:p>
    <w:p w:rsidR="0003146C" w:rsidRDefault="0003146C" w:rsidP="0003146C">
      <w:pPr>
        <w:ind w:left="10773"/>
        <w:jc w:val="center"/>
        <w:rPr>
          <w:sz w:val="28"/>
          <w:szCs w:val="28"/>
        </w:rPr>
      </w:pPr>
    </w:p>
    <w:p w:rsidR="0003146C" w:rsidRDefault="0003146C" w:rsidP="0003146C">
      <w:pPr>
        <w:jc w:val="center"/>
        <w:rPr>
          <w:sz w:val="28"/>
          <w:szCs w:val="28"/>
        </w:rPr>
      </w:pPr>
    </w:p>
    <w:p w:rsidR="0003146C" w:rsidRDefault="0003146C" w:rsidP="0003146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3146C" w:rsidRDefault="0003146C" w:rsidP="0003146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значений показателя (индикатора)</w:t>
      </w:r>
    </w:p>
    <w:p w:rsidR="0003146C" w:rsidRDefault="0003146C" w:rsidP="0003146C">
      <w:pPr>
        <w:jc w:val="center"/>
        <w:rPr>
          <w:i/>
          <w:iCs/>
          <w:sz w:val="28"/>
          <w:szCs w:val="28"/>
        </w:rPr>
      </w:pPr>
    </w:p>
    <w:tbl>
      <w:tblPr>
        <w:tblW w:w="5000" w:type="pct"/>
        <w:tblInd w:w="-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4491"/>
        <w:gridCol w:w="1731"/>
        <w:gridCol w:w="1651"/>
        <w:gridCol w:w="1539"/>
        <w:gridCol w:w="1523"/>
        <w:gridCol w:w="2962"/>
      </w:tblGrid>
      <w:tr w:rsidR="0003146C" w:rsidTr="00DE6E4A">
        <w:tc>
          <w:tcPr>
            <w:tcW w:w="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и наименование </w:t>
            </w:r>
          </w:p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4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Значения показателя (индикатора) </w:t>
            </w:r>
            <w:r>
              <w:rPr>
                <w:sz w:val="28"/>
                <w:szCs w:val="28"/>
              </w:rPr>
              <w:br/>
              <w:t xml:space="preserve">муниципальной программы, </w:t>
            </w:r>
            <w:r>
              <w:rPr>
                <w:sz w:val="28"/>
                <w:szCs w:val="28"/>
              </w:rPr>
              <w:br/>
              <w:t>подпрограммы муниципальной программы</w:t>
            </w:r>
          </w:p>
        </w:tc>
        <w:tc>
          <w:tcPr>
            <w:tcW w:w="30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</w:t>
            </w:r>
            <w:proofErr w:type="gramStart"/>
            <w:r>
              <w:rPr>
                <w:sz w:val="28"/>
                <w:szCs w:val="28"/>
              </w:rPr>
              <w:t xml:space="preserve">отклонений </w:t>
            </w:r>
            <w:r>
              <w:rPr>
                <w:sz w:val="28"/>
                <w:szCs w:val="28"/>
              </w:rPr>
              <w:br/>
              <w:t xml:space="preserve"> значений</w:t>
            </w:r>
            <w:proofErr w:type="gramEnd"/>
            <w:r>
              <w:rPr>
                <w:sz w:val="28"/>
                <w:szCs w:val="28"/>
              </w:rPr>
              <w:t xml:space="preserve"> показателя (индикатора) </w:t>
            </w:r>
          </w:p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конец </w:t>
            </w:r>
            <w:r>
              <w:rPr>
                <w:sz w:val="28"/>
                <w:szCs w:val="28"/>
              </w:rPr>
              <w:br/>
              <w:t xml:space="preserve">отчетного года </w:t>
            </w:r>
          </w:p>
        </w:tc>
      </w:tr>
      <w:tr w:rsidR="0003146C" w:rsidTr="00DE6E4A">
        <w:tc>
          <w:tcPr>
            <w:tcW w:w="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2015 год</w:t>
            </w:r>
          </w:p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2016 отчетный год</w:t>
            </w:r>
          </w:p>
        </w:tc>
        <w:tc>
          <w:tcPr>
            <w:tcW w:w="30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03146C" w:rsidTr="00DE6E4A">
        <w:tc>
          <w:tcPr>
            <w:tcW w:w="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30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3146C" w:rsidRDefault="0003146C" w:rsidP="00DE6E4A">
            <w:pPr>
              <w:rPr>
                <w:i/>
                <w:iCs/>
                <w:sz w:val="28"/>
                <w:szCs w:val="28"/>
              </w:rPr>
            </w:pPr>
          </w:p>
        </w:tc>
      </w:tr>
    </w:tbl>
    <w:p w:rsidR="0003146C" w:rsidRDefault="0003146C" w:rsidP="0003146C">
      <w:pPr>
        <w:rPr>
          <w:i/>
          <w:iCs/>
          <w:sz w:val="2"/>
          <w:szCs w:val="2"/>
        </w:rPr>
      </w:pPr>
    </w:p>
    <w:tbl>
      <w:tblPr>
        <w:tblW w:w="5000" w:type="pct"/>
        <w:tblInd w:w="-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4486"/>
        <w:gridCol w:w="1740"/>
        <w:gridCol w:w="1634"/>
        <w:gridCol w:w="1580"/>
        <w:gridCol w:w="1526"/>
        <w:gridCol w:w="2937"/>
      </w:tblGrid>
      <w:tr w:rsidR="0003146C" w:rsidTr="00DE6E4A">
        <w:trPr>
          <w:tblHeader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Подпрограмма «Энергосбережение и повышение энергетической эффективности Белокалитвинского района»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Доля энергетических ресурсов, производимых с использованием возобновляемых источников энергии, </w:t>
            </w:r>
          </w:p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в общем объеме энергетических ресурсов, производимых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0,0</w:t>
            </w:r>
          </w:p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</w:t>
            </w:r>
          </w:p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Доля объема тепловой энергии </w:t>
            </w:r>
          </w:p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(далее – ТЭ), расчеты за потребление которой осуществляются на основании показаний приборов учета, в общем объеме ТЭ, потребляемой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Отклонение от планового значения связано с тем, что на территории Белокалитвинского района имеются МКД с тепловой нагрузкой менее 0,2 Гкал/час и не требуется установки ПУ тепловой энергии в соответствии с законодательством.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Доля объема воды, расчеты за потребление которой осуществляются </w:t>
            </w:r>
          </w:p>
          <w:p w:rsidR="0003146C" w:rsidRDefault="0003146C" w:rsidP="00DE6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показаний приборов учета, </w:t>
            </w:r>
          </w:p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в общем объеме холодной воды, потребляемой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Отклонение от планового значения связано с тем, что в некоторых МКД на территории муниципальных образований района не имеется технической возможности установки общедомовых ПУ, что </w:t>
            </w:r>
            <w:r>
              <w:rPr>
                <w:sz w:val="28"/>
                <w:szCs w:val="28"/>
              </w:rPr>
              <w:lastRenderedPageBreak/>
              <w:t xml:space="preserve">определено </w:t>
            </w:r>
            <w:proofErr w:type="spellStart"/>
            <w:r>
              <w:rPr>
                <w:sz w:val="28"/>
                <w:szCs w:val="28"/>
              </w:rPr>
              <w:t>комиссионно</w:t>
            </w:r>
            <w:proofErr w:type="spellEnd"/>
            <w:r>
              <w:rPr>
                <w:sz w:val="28"/>
                <w:szCs w:val="28"/>
              </w:rPr>
              <w:t xml:space="preserve"> в соответствии с законодательством.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Доля объема природного газа, расчеты за потребление которого осуществляются на основании показаний приборов учета, </w:t>
            </w:r>
          </w:p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в общем объеме природного газа, потребляемого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color w:val="111111"/>
                <w:sz w:val="28"/>
                <w:szCs w:val="28"/>
              </w:rPr>
              <w:t>63,7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63,7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Показатель не достигнут в связи с изменением в законодательстве, пересмотрено требование 100% установления индивидуальных приборов учета газа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Экономия электрической энергии в натуральном выражении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киловатт- часов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390,7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color w:val="111111"/>
                <w:sz w:val="28"/>
                <w:szCs w:val="28"/>
              </w:rPr>
              <w:t>496,4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color w:val="111111"/>
                <w:sz w:val="28"/>
                <w:szCs w:val="28"/>
              </w:rPr>
              <w:t>496,4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Экономия тепловой энергии в натуральном выражении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гигакалорий</w:t>
            </w:r>
            <w:proofErr w:type="spellEnd"/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0,550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color w:val="111111"/>
                <w:sz w:val="28"/>
                <w:szCs w:val="28"/>
              </w:rPr>
              <w:t>0,763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color w:val="111111"/>
                <w:sz w:val="28"/>
                <w:szCs w:val="28"/>
              </w:rPr>
              <w:t>0,763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 воды в натуральном выражении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куб. метров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color w:val="111111"/>
                <w:sz w:val="28"/>
                <w:szCs w:val="28"/>
              </w:rPr>
              <w:t>11,147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5,589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color w:val="111111"/>
                <w:sz w:val="28"/>
                <w:szCs w:val="28"/>
              </w:rPr>
              <w:t>5,589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Доля объемов электри</w:t>
            </w:r>
            <w:r>
              <w:rPr>
                <w:sz w:val="28"/>
                <w:szCs w:val="28"/>
              </w:rPr>
              <w:softHyphen/>
              <w:t>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Доля объемов ТЭ, потребляемой БУ, расчеты за которую осуществляются с использованием приборов учета, в общем объеме ТЭ, потребляемой БУ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Доля объемов воды, потребляемой БУ, расчеты за которую осуществляются с использованием приборов учета, в общем объеме воды, потребляемой БУ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91,7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91,7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Отклонение от планового значения связано с тем, что имеются БУ, которые арендуют помещения и не являются собственниками зданий.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Доля объемов природного газа, потребляемого БУ, расчеты за который осуществляются с использованием приборов учета, в общем объеме природного газа, потребляемого БУ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Доля БУ, финансируемых за счет бюджета субъекта Российской Федерации, в общем объеме БУ, в отношении которых проведено обязательное энергетическое обследование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Число </w:t>
            </w:r>
            <w:proofErr w:type="spellStart"/>
            <w:r>
              <w:rPr>
                <w:sz w:val="28"/>
                <w:szCs w:val="28"/>
              </w:rPr>
              <w:t>энергосервисных</w:t>
            </w:r>
            <w:proofErr w:type="spellEnd"/>
            <w:r>
              <w:rPr>
                <w:sz w:val="28"/>
                <w:szCs w:val="28"/>
              </w:rPr>
              <w:t xml:space="preserve"> договоров, заключенных муниципальными заказчиками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Отклонение от планового значения связано с тем, что в отчетном периоде </w:t>
            </w:r>
            <w:proofErr w:type="spellStart"/>
            <w:r>
              <w:rPr>
                <w:sz w:val="28"/>
                <w:szCs w:val="28"/>
              </w:rPr>
              <w:t>энергоаудит</w:t>
            </w:r>
            <w:proofErr w:type="spellEnd"/>
            <w:r>
              <w:rPr>
                <w:sz w:val="28"/>
                <w:szCs w:val="28"/>
              </w:rPr>
              <w:t xml:space="preserve"> не проводился, таким образом отсутствовала необходимость заключения </w:t>
            </w:r>
            <w:proofErr w:type="spellStart"/>
            <w:r>
              <w:rPr>
                <w:sz w:val="28"/>
                <w:szCs w:val="28"/>
              </w:rPr>
              <w:t>энергосервисных</w:t>
            </w:r>
            <w:proofErr w:type="spellEnd"/>
            <w:r>
              <w:rPr>
                <w:sz w:val="28"/>
                <w:szCs w:val="28"/>
              </w:rPr>
              <w:t xml:space="preserve"> договоров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товаров, работ, услуг, закупаемых для государственных нужд </w:t>
            </w:r>
          </w:p>
          <w:p w:rsidR="0003146C" w:rsidRDefault="0003146C" w:rsidP="00DE6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требованиями энергетической эффективности, </w:t>
            </w:r>
          </w:p>
          <w:p w:rsidR="0003146C" w:rsidRDefault="0003146C" w:rsidP="00DE6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общем объеме закупаемых товаров, работ, услуг для государственных нужд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Доля объемов ЭЭ, потребляемой в многоквартирных домах, расчеты за которую осуществляются с использованием коллективных (общедомовых) приборов учета, в общем объеме ЭЭ, потребляемой в многоквартирных домах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bookmarkStart w:id="12" w:name="__DdeLink__1630_424177803"/>
            <w:r>
              <w:rPr>
                <w:sz w:val="28"/>
                <w:szCs w:val="28"/>
              </w:rPr>
              <w:t xml:space="preserve">Отклонение от планового значения связано с </w:t>
            </w:r>
            <w:bookmarkEnd w:id="12"/>
            <w:r>
              <w:rPr>
                <w:sz w:val="28"/>
                <w:szCs w:val="28"/>
              </w:rPr>
              <w:t>активизацией мероприятий по установке приборов учета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Доля объемов ТЭ, потребляемой в многоквартирных домах, оплата которой осуществляется с использованием коллективных (общедомовых) приборов учета, в общем объеме ТЭ, потребляемой в многоквартирных домах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62,0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38,0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bookmarkStart w:id="13" w:name="__DdeLink__3223_1222252491"/>
            <w:bookmarkEnd w:id="13"/>
            <w:r>
              <w:rPr>
                <w:sz w:val="28"/>
                <w:szCs w:val="28"/>
              </w:rPr>
              <w:t>62,0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Отклонение от планового значения связано с активизацией мероприятий по установке приборов учета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Доля объемов воды, потребляемой (используемой) в многоквартирных домах, расчеты за которую осуществляются с использованием коллективных (общедомовых) приборов учета, </w:t>
            </w:r>
          </w:p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в общем объеме воды, потребляемой (используемой) в многоквартирных домах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>Отклонение от планового значения связано с активизацией мероприятий по установке приборов учета</w:t>
            </w:r>
          </w:p>
        </w:tc>
      </w:tr>
      <w:tr w:rsidR="0003146C" w:rsidTr="00DE6E4A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Доля объемов природного газа, потребляемого (используемого) в многоквартирных домах, расчеты за который осуществляются с использованием индивидуальных и общих (для коммунальной квартиры) приборов учета, в общем объеме природного газа, потребляемого (используемого) </w:t>
            </w:r>
          </w:p>
          <w:p w:rsidR="0003146C" w:rsidRDefault="0003146C" w:rsidP="00DE6E4A">
            <w:pPr>
              <w:rPr>
                <w:i/>
                <w:iCs/>
              </w:rPr>
            </w:pPr>
            <w:r>
              <w:rPr>
                <w:sz w:val="28"/>
                <w:szCs w:val="28"/>
              </w:rPr>
              <w:lastRenderedPageBreak/>
              <w:t>в многоквартирных домах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>50,5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3146C" w:rsidRDefault="0003146C" w:rsidP="00DE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03146C" w:rsidRDefault="0003146C" w:rsidP="0003146C">
      <w:pPr>
        <w:rPr>
          <w:sz w:val="28"/>
        </w:rPr>
      </w:pPr>
    </w:p>
    <w:sectPr w:rsidR="0003146C" w:rsidSect="0003146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BB" w:rsidRDefault="00D25FBB">
      <w:r>
        <w:separator/>
      </w:r>
    </w:p>
  </w:endnote>
  <w:endnote w:type="continuationSeparator" w:id="0">
    <w:p w:rsidR="00D25FBB" w:rsidRDefault="00D2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146C" w:rsidRPr="0003146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146C" w:rsidRPr="00E04470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04470" w:rsidRPr="00E04470">
      <w:rPr>
        <w:noProof/>
        <w:sz w:val="14"/>
      </w:rPr>
      <w:t>5/4/2017 5:09:00</w:t>
    </w:r>
    <w:r w:rsidR="00E0447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04470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04470">
      <w:rPr>
        <w:sz w:val="14"/>
      </w:rPr>
      <w:t xml:space="preserve">. </w:t>
    </w:r>
    <w:r>
      <w:rPr>
        <w:sz w:val="14"/>
      </w:rPr>
      <w:fldChar w:fldCharType="begin"/>
    </w:r>
    <w:r w:rsidRPr="00E0447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04470">
      <w:rPr>
        <w:sz w:val="14"/>
      </w:rPr>
      <w:instrText xml:space="preserve"> </w:instrText>
    </w:r>
    <w:r>
      <w:rPr>
        <w:sz w:val="14"/>
      </w:rPr>
      <w:fldChar w:fldCharType="separate"/>
    </w:r>
    <w:r w:rsidR="00E04470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04470">
      <w:rPr>
        <w:noProof/>
        <w:sz w:val="14"/>
      </w:rPr>
      <w:t>16</w:t>
    </w:r>
    <w:r>
      <w:rPr>
        <w:sz w:val="14"/>
      </w:rPr>
      <w:fldChar w:fldCharType="end"/>
    </w:r>
    <w:r w:rsidRPr="00E0447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BB" w:rsidRDefault="00D25FBB">
      <w:r>
        <w:separator/>
      </w:r>
    </w:p>
  </w:footnote>
  <w:footnote w:type="continuationSeparator" w:id="0">
    <w:p w:rsidR="00D25FBB" w:rsidRDefault="00D2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C6602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BA8E7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8260E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F0836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5CFD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B0A9B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8EE7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BF46D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F5EB56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7EC99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7863AC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5E61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121A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B5ACB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35466C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88E10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4CC47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08C15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6C"/>
    <w:rsid w:val="000135FF"/>
    <w:rsid w:val="0002101A"/>
    <w:rsid w:val="0003146C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25FBB"/>
    <w:rsid w:val="00D33728"/>
    <w:rsid w:val="00D41E71"/>
    <w:rsid w:val="00D46DAB"/>
    <w:rsid w:val="00DF1B73"/>
    <w:rsid w:val="00E04470"/>
    <w:rsid w:val="00E57C9A"/>
    <w:rsid w:val="00E6029D"/>
    <w:rsid w:val="00E84D87"/>
    <w:rsid w:val="00E9655A"/>
    <w:rsid w:val="00EA0F1C"/>
    <w:rsid w:val="00F4755E"/>
    <w:rsid w:val="00F614ED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45FD7-4DB4-4CF5-88F1-F27C5BB2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03146C"/>
    <w:pPr>
      <w:suppressAutoHyphens/>
    </w:pPr>
    <w:rPr>
      <w:color w:val="00000A"/>
      <w:sz w:val="28"/>
      <w:szCs w:val="20"/>
    </w:rPr>
  </w:style>
  <w:style w:type="character" w:customStyle="1" w:styleId="a7">
    <w:name w:val="Основной текст Знак"/>
    <w:basedOn w:val="a0"/>
    <w:link w:val="a6"/>
    <w:rsid w:val="0003146C"/>
    <w:rPr>
      <w:color w:val="00000A"/>
      <w:sz w:val="28"/>
    </w:rPr>
  </w:style>
  <w:style w:type="paragraph" w:styleId="20">
    <w:name w:val="Body Text 2"/>
    <w:basedOn w:val="a"/>
    <w:link w:val="22"/>
    <w:qFormat/>
    <w:rsid w:val="0003146C"/>
    <w:pPr>
      <w:suppressAutoHyphens/>
      <w:ind w:firstLine="720"/>
      <w:jc w:val="both"/>
    </w:pPr>
    <w:rPr>
      <w:color w:val="00000A"/>
      <w:sz w:val="20"/>
      <w:szCs w:val="20"/>
    </w:rPr>
  </w:style>
  <w:style w:type="character" w:customStyle="1" w:styleId="22">
    <w:name w:val="Основной текст 2 Знак"/>
    <w:basedOn w:val="a0"/>
    <w:link w:val="20"/>
    <w:rsid w:val="0003146C"/>
    <w:rPr>
      <w:color w:val="00000A"/>
    </w:rPr>
  </w:style>
  <w:style w:type="paragraph" w:customStyle="1" w:styleId="a8">
    <w:name w:val="Содержимое таблицы"/>
    <w:basedOn w:val="a"/>
    <w:qFormat/>
    <w:rsid w:val="0003146C"/>
    <w:pPr>
      <w:suppressAutoHyphens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dcterms:created xsi:type="dcterms:W3CDTF">2017-05-04T14:01:00Z</dcterms:created>
  <dcterms:modified xsi:type="dcterms:W3CDTF">2017-05-25T11:27:00Z</dcterms:modified>
</cp:coreProperties>
</file>